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D7C66" w14:textId="5456037D" w:rsidR="00E5294A" w:rsidRPr="00A57EE1" w:rsidRDefault="00D07AE1" w:rsidP="00D07A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7EE1">
        <w:rPr>
          <w:rFonts w:ascii="Arial" w:hAnsi="Arial" w:cs="Arial"/>
          <w:b/>
          <w:sz w:val="24"/>
          <w:szCs w:val="24"/>
        </w:rPr>
        <w:t>LA PERSPECTIVA DE GÉNERO EN LA ENSEÑANZA DEL DERECHO INTERNACIONAL DE LOS DERECHOS HUMANOS.</w:t>
      </w:r>
    </w:p>
    <w:p w14:paraId="4966C31F" w14:textId="2BC6BE02" w:rsidR="00E248E6" w:rsidRPr="00A63A18" w:rsidRDefault="00E248E6" w:rsidP="0063349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Marcela </w:t>
      </w:r>
      <w:proofErr w:type="spellStart"/>
      <w:r>
        <w:rPr>
          <w:rFonts w:ascii="Arial" w:hAnsi="Arial" w:cs="Arial"/>
          <w:sz w:val="24"/>
          <w:szCs w:val="24"/>
        </w:rPr>
        <w:t>Iellimo</w:t>
      </w:r>
      <w:proofErr w:type="spellEnd"/>
      <w:r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46259B79" w14:textId="7B315012" w:rsidR="00522954" w:rsidRDefault="00522954" w:rsidP="003D1F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1AB5C" w14:textId="5637F88A" w:rsidR="006A4C25" w:rsidRDefault="006A4C25" w:rsidP="00A57E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EE1">
        <w:rPr>
          <w:rFonts w:ascii="Arial" w:hAnsi="Arial" w:cs="Arial"/>
          <w:b/>
          <w:bCs/>
          <w:sz w:val="24"/>
          <w:szCs w:val="24"/>
        </w:rPr>
        <w:t>Resumen</w:t>
      </w:r>
      <w:r w:rsidR="00A57EE1">
        <w:rPr>
          <w:rFonts w:ascii="Arial" w:hAnsi="Arial" w:cs="Arial"/>
          <w:b/>
          <w:bCs/>
          <w:sz w:val="24"/>
          <w:szCs w:val="24"/>
        </w:rPr>
        <w:t xml:space="preserve">: </w:t>
      </w:r>
      <w:r w:rsidR="00C611F7">
        <w:rPr>
          <w:rFonts w:ascii="Arial" w:hAnsi="Arial" w:cs="Arial"/>
          <w:sz w:val="24"/>
          <w:szCs w:val="24"/>
        </w:rPr>
        <w:t>Este trabajo busca visibilizar la importancia de la perspectiva de género en el dictado de la materia Derechos Humanos. La efectiva vigencia y realización de los derechos de todas y todos solo puede lograrse si concientizamos sobre las necesidades de los diferentes grupos sociales, y que por lo tanto los derechos universales ya no pueden concebirse desde la perspectiva de una persona abstract</w:t>
      </w:r>
      <w:r w:rsidR="006843D5">
        <w:rPr>
          <w:rFonts w:ascii="Arial" w:hAnsi="Arial" w:cs="Arial"/>
          <w:sz w:val="24"/>
          <w:szCs w:val="24"/>
        </w:rPr>
        <w:t xml:space="preserve">a sino desde la diversidad de </w:t>
      </w:r>
      <w:proofErr w:type="spellStart"/>
      <w:r w:rsidR="006843D5">
        <w:rPr>
          <w:rFonts w:ascii="Arial" w:hAnsi="Arial" w:cs="Arial"/>
          <w:sz w:val="24"/>
          <w:szCs w:val="24"/>
        </w:rPr>
        <w:t>lx</w:t>
      </w:r>
      <w:r w:rsidR="00C611F7">
        <w:rPr>
          <w:rFonts w:ascii="Arial" w:hAnsi="Arial" w:cs="Arial"/>
          <w:sz w:val="24"/>
          <w:szCs w:val="24"/>
        </w:rPr>
        <w:t>s</w:t>
      </w:r>
      <w:proofErr w:type="spellEnd"/>
      <w:r w:rsidR="00C611F7">
        <w:rPr>
          <w:rFonts w:ascii="Arial" w:hAnsi="Arial" w:cs="Arial"/>
          <w:sz w:val="24"/>
          <w:szCs w:val="24"/>
        </w:rPr>
        <w:t xml:space="preserve"> seres humanos. </w:t>
      </w:r>
    </w:p>
    <w:p w14:paraId="682953B1" w14:textId="147CA903" w:rsidR="006A4C25" w:rsidRDefault="006A4C25" w:rsidP="003D1F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6C874C" w14:textId="757921E3" w:rsidR="006A4C25" w:rsidRPr="00A57EE1" w:rsidRDefault="00633490" w:rsidP="00A57EE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57EE1">
        <w:rPr>
          <w:rFonts w:ascii="Arial" w:hAnsi="Arial" w:cs="Arial"/>
          <w:b/>
          <w:bCs/>
          <w:sz w:val="24"/>
          <w:szCs w:val="24"/>
        </w:rPr>
        <w:t>Derechos Humanos y Perspectiva de Género</w:t>
      </w:r>
    </w:p>
    <w:p w14:paraId="52F5CAC4" w14:textId="6AFF6A72" w:rsidR="00E02C97" w:rsidRPr="00A63A18" w:rsidRDefault="0083065A" w:rsidP="003D1F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>Cuando hablamos de Derechos Humanos, estamos hablando de aquellos derechos que tenemos todas las personas</w:t>
      </w:r>
      <w:r w:rsidR="008665A9" w:rsidRPr="00A63A18">
        <w:rPr>
          <w:rFonts w:ascii="Arial" w:hAnsi="Arial" w:cs="Arial"/>
          <w:sz w:val="24"/>
          <w:szCs w:val="24"/>
        </w:rPr>
        <w:t xml:space="preserve"> por la sola condición de seres </w:t>
      </w:r>
      <w:r w:rsidRPr="00A63A18">
        <w:rPr>
          <w:rFonts w:ascii="Arial" w:hAnsi="Arial" w:cs="Arial"/>
          <w:sz w:val="24"/>
          <w:szCs w:val="24"/>
        </w:rPr>
        <w:t xml:space="preserve">humanos. </w:t>
      </w:r>
    </w:p>
    <w:p w14:paraId="63A385DC" w14:textId="3E69B626" w:rsidR="008665A9" w:rsidRPr="00A63A18" w:rsidRDefault="008665A9" w:rsidP="003D1F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>En las primeras clases de nuestra materia comenzamos anali</w:t>
      </w:r>
      <w:r w:rsidR="00A16CBE">
        <w:rPr>
          <w:rFonts w:ascii="Arial" w:hAnsi="Arial" w:cs="Arial"/>
          <w:sz w:val="24"/>
          <w:szCs w:val="24"/>
        </w:rPr>
        <w:t>zando las características de estos</w:t>
      </w:r>
      <w:r w:rsidRPr="00A63A18">
        <w:rPr>
          <w:rFonts w:ascii="Arial" w:hAnsi="Arial" w:cs="Arial"/>
          <w:sz w:val="24"/>
          <w:szCs w:val="24"/>
        </w:rPr>
        <w:t xml:space="preserve"> derechos, como la inherencia, universalidad, interdependencia, progresividad, inalienabilidad, internacionalización. </w:t>
      </w:r>
    </w:p>
    <w:p w14:paraId="46518BFD" w14:textId="77777777" w:rsidR="00F93A77" w:rsidRPr="00A63A18" w:rsidRDefault="0083065A" w:rsidP="00F93A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 xml:space="preserve">Los Derechos Humanos, como fueron entendidos a partir de mediados del Siglo XX son universales, es decir para todos y todas. Pero no siempre fue así. </w:t>
      </w:r>
    </w:p>
    <w:p w14:paraId="09F399AC" w14:textId="1C30804E" w:rsidR="00740610" w:rsidRPr="00A63A18" w:rsidRDefault="00F93A77" w:rsidP="00F93A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>Al realizar un</w:t>
      </w:r>
      <w:r w:rsidR="00A63A18">
        <w:rPr>
          <w:rFonts w:ascii="Arial" w:hAnsi="Arial" w:cs="Arial"/>
          <w:sz w:val="24"/>
          <w:szCs w:val="24"/>
        </w:rPr>
        <w:t xml:space="preserve"> recorrido histórico es muy frecuente partir de la </w:t>
      </w:r>
      <w:r w:rsidRPr="00A63A18">
        <w:rPr>
          <w:rFonts w:ascii="Arial" w:hAnsi="Arial" w:cs="Arial"/>
          <w:sz w:val="24"/>
          <w:szCs w:val="24"/>
        </w:rPr>
        <w:t xml:space="preserve">etapa de la </w:t>
      </w:r>
      <w:proofErr w:type="spellStart"/>
      <w:r w:rsidRPr="00A63A18">
        <w:rPr>
          <w:rFonts w:ascii="Arial" w:hAnsi="Arial" w:cs="Arial"/>
          <w:sz w:val="24"/>
          <w:szCs w:val="24"/>
        </w:rPr>
        <w:t>positivació</w:t>
      </w:r>
      <w:r w:rsidR="00BE46E9">
        <w:rPr>
          <w:rFonts w:ascii="Arial" w:hAnsi="Arial" w:cs="Arial"/>
          <w:sz w:val="24"/>
          <w:szCs w:val="24"/>
        </w:rPr>
        <w:t>n</w:t>
      </w:r>
      <w:proofErr w:type="spellEnd"/>
      <w:r w:rsidR="00BE46E9">
        <w:rPr>
          <w:rFonts w:ascii="Arial" w:hAnsi="Arial" w:cs="Arial"/>
          <w:sz w:val="24"/>
          <w:szCs w:val="24"/>
        </w:rPr>
        <w:t xml:space="preserve"> de los derechos, que respondió</w:t>
      </w:r>
      <w:r w:rsidRPr="00A63A18">
        <w:rPr>
          <w:rFonts w:ascii="Arial" w:hAnsi="Arial" w:cs="Arial"/>
          <w:sz w:val="24"/>
          <w:szCs w:val="24"/>
        </w:rPr>
        <w:t xml:space="preserve"> </w:t>
      </w:r>
      <w:r w:rsidR="00A63A18">
        <w:rPr>
          <w:rFonts w:ascii="Arial" w:hAnsi="Arial" w:cs="Arial"/>
          <w:sz w:val="24"/>
          <w:szCs w:val="24"/>
        </w:rPr>
        <w:t xml:space="preserve">a </w:t>
      </w:r>
      <w:r w:rsidRPr="00A63A18">
        <w:rPr>
          <w:rFonts w:ascii="Arial" w:hAnsi="Arial" w:cs="Arial"/>
          <w:sz w:val="24"/>
          <w:szCs w:val="24"/>
        </w:rPr>
        <w:t xml:space="preserve">la necesidad de consignar los derechos naturales enunciados en las teorías filosóficas en diferentes documentos, como las cartas de derechos. </w:t>
      </w:r>
      <w:r w:rsidR="00740610" w:rsidRPr="00A63A18">
        <w:rPr>
          <w:rFonts w:ascii="Arial" w:hAnsi="Arial" w:cs="Arial"/>
          <w:sz w:val="24"/>
          <w:szCs w:val="24"/>
        </w:rPr>
        <w:t xml:space="preserve">Es muy usual hacer referencia a hitos como la Revolución Norteamericana y más aún la Revolución Francesa. Sin embargo, cuando nos adentramos en esa historia nos damos cuenta </w:t>
      </w:r>
      <w:r w:rsidR="008E5540">
        <w:rPr>
          <w:rFonts w:ascii="Arial" w:hAnsi="Arial" w:cs="Arial"/>
          <w:sz w:val="24"/>
          <w:szCs w:val="24"/>
        </w:rPr>
        <w:t xml:space="preserve">de </w:t>
      </w:r>
      <w:r w:rsidR="00740610" w:rsidRPr="00A63A18">
        <w:rPr>
          <w:rFonts w:ascii="Arial" w:hAnsi="Arial" w:cs="Arial"/>
          <w:sz w:val="24"/>
          <w:szCs w:val="24"/>
        </w:rPr>
        <w:t xml:space="preserve">que la pretendida universalidad de la Declaración del Buen Pueblo de Virginia, o la Declaración de los Derechos del Hombre y del Ciudadano no era tal, porque </w:t>
      </w:r>
      <w:r w:rsidR="00740610" w:rsidRPr="00A63A18">
        <w:rPr>
          <w:rFonts w:ascii="Arial" w:hAnsi="Arial" w:cs="Arial"/>
          <w:sz w:val="24"/>
          <w:szCs w:val="24"/>
        </w:rPr>
        <w:lastRenderedPageBreak/>
        <w:t>muchas personas, muchos grupos sociales estaban excluidos, aunque no expresamente, de ejercer esos derechos o libertades.  Entre las personas excluidas estaban las mujeres. D</w:t>
      </w:r>
      <w:r w:rsidR="008E5540">
        <w:rPr>
          <w:rFonts w:ascii="Arial" w:hAnsi="Arial" w:cs="Arial"/>
          <w:sz w:val="24"/>
          <w:szCs w:val="24"/>
        </w:rPr>
        <w:t xml:space="preserve">e hecho </w:t>
      </w:r>
      <w:proofErr w:type="spellStart"/>
      <w:r w:rsidR="008E5540">
        <w:rPr>
          <w:rFonts w:ascii="Arial" w:hAnsi="Arial" w:cs="Arial"/>
          <w:sz w:val="24"/>
          <w:szCs w:val="24"/>
        </w:rPr>
        <w:t>Olympe</w:t>
      </w:r>
      <w:proofErr w:type="spellEnd"/>
      <w:r w:rsidR="008E554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E5540">
        <w:rPr>
          <w:rFonts w:ascii="Arial" w:hAnsi="Arial" w:cs="Arial"/>
          <w:sz w:val="24"/>
          <w:szCs w:val="24"/>
        </w:rPr>
        <w:t>Gouges</w:t>
      </w:r>
      <w:proofErr w:type="spellEnd"/>
      <w:r w:rsidR="008E5540">
        <w:rPr>
          <w:rFonts w:ascii="Arial" w:hAnsi="Arial" w:cs="Arial"/>
          <w:sz w:val="24"/>
          <w:szCs w:val="24"/>
        </w:rPr>
        <w:t xml:space="preserve"> redactó</w:t>
      </w:r>
      <w:r w:rsidR="00740610" w:rsidRPr="00A63A18">
        <w:rPr>
          <w:rFonts w:ascii="Arial" w:hAnsi="Arial" w:cs="Arial"/>
          <w:sz w:val="24"/>
          <w:szCs w:val="24"/>
        </w:rPr>
        <w:t xml:space="preserve"> en 1791, aunque sin suerte, la Declaración de los Derechos de la Mujer y la Ciudadana. </w:t>
      </w:r>
    </w:p>
    <w:p w14:paraId="6449672C" w14:textId="21E5DC4B" w:rsidR="00F9125E" w:rsidRPr="00A63A18" w:rsidRDefault="00F93A77" w:rsidP="007406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 xml:space="preserve">Luego se habla de un proceso </w:t>
      </w:r>
      <w:r w:rsidR="00740610" w:rsidRPr="00A63A18">
        <w:rPr>
          <w:rFonts w:ascii="Arial" w:hAnsi="Arial" w:cs="Arial"/>
          <w:sz w:val="24"/>
          <w:szCs w:val="24"/>
        </w:rPr>
        <w:t xml:space="preserve">de internacionalización, que </w:t>
      </w:r>
      <w:r w:rsidR="008E5540">
        <w:rPr>
          <w:rFonts w:ascii="Arial" w:hAnsi="Arial" w:cs="Arial"/>
          <w:sz w:val="24"/>
          <w:szCs w:val="24"/>
        </w:rPr>
        <w:t xml:space="preserve">comenzó después </w:t>
      </w:r>
      <w:r w:rsidRPr="00A63A18">
        <w:rPr>
          <w:rFonts w:ascii="Arial" w:hAnsi="Arial" w:cs="Arial"/>
          <w:sz w:val="24"/>
          <w:szCs w:val="24"/>
        </w:rPr>
        <w:t>de la Segunda Guerra Mundial, frente a la necesidad de proteger los derechos fundamentales de las personas de</w:t>
      </w:r>
      <w:r w:rsidR="00740610" w:rsidRPr="00A63A18">
        <w:rPr>
          <w:rFonts w:ascii="Arial" w:hAnsi="Arial" w:cs="Arial"/>
          <w:sz w:val="24"/>
          <w:szCs w:val="24"/>
        </w:rPr>
        <w:t xml:space="preserve">l accionar de los mismos Estados y </w:t>
      </w:r>
      <w:r w:rsidRPr="00A63A18">
        <w:rPr>
          <w:rFonts w:ascii="Arial" w:hAnsi="Arial" w:cs="Arial"/>
          <w:sz w:val="24"/>
          <w:szCs w:val="24"/>
        </w:rPr>
        <w:t xml:space="preserve">estableciendo la </w:t>
      </w:r>
      <w:r w:rsidR="00740610" w:rsidRPr="00A63A18">
        <w:rPr>
          <w:rFonts w:ascii="Arial" w:hAnsi="Arial" w:cs="Arial"/>
          <w:sz w:val="24"/>
          <w:szCs w:val="24"/>
        </w:rPr>
        <w:t>exigencia</w:t>
      </w:r>
      <w:r w:rsidRPr="00A63A18">
        <w:rPr>
          <w:rFonts w:ascii="Arial" w:hAnsi="Arial" w:cs="Arial"/>
          <w:sz w:val="24"/>
          <w:szCs w:val="24"/>
        </w:rPr>
        <w:t xml:space="preserve"> de que su alcance fuera supraestatal.  </w:t>
      </w:r>
      <w:r w:rsidR="00740610" w:rsidRPr="00A63A18">
        <w:rPr>
          <w:rFonts w:ascii="Arial" w:hAnsi="Arial" w:cs="Arial"/>
          <w:sz w:val="24"/>
          <w:szCs w:val="24"/>
        </w:rPr>
        <w:t>Se aprobaron los primeros pactos generales de derechos humanos tanto a nivel universal como regional</w:t>
      </w:r>
      <w:r w:rsidR="00BE46E9">
        <w:rPr>
          <w:rFonts w:ascii="Arial" w:hAnsi="Arial" w:cs="Arial"/>
          <w:sz w:val="24"/>
          <w:szCs w:val="24"/>
        </w:rPr>
        <w:t xml:space="preserve"> y se crearon los primeros órganos internacionales de protección de derechos</w:t>
      </w:r>
      <w:r w:rsidR="00740610" w:rsidRPr="00A63A18">
        <w:rPr>
          <w:rFonts w:ascii="Arial" w:hAnsi="Arial" w:cs="Arial"/>
          <w:sz w:val="24"/>
          <w:szCs w:val="24"/>
        </w:rPr>
        <w:t>. No obstante, la mayoría de los sistemas y mecanismos regionales e internacionales de protección de derechos humanos se han desarrollado e implementado a partir de un modelo masculino (Facio</w:t>
      </w:r>
      <w:r w:rsidR="00DE75B5">
        <w:rPr>
          <w:rFonts w:ascii="Arial" w:hAnsi="Arial" w:cs="Arial"/>
          <w:sz w:val="24"/>
          <w:szCs w:val="24"/>
        </w:rPr>
        <w:t>,</w:t>
      </w:r>
      <w:r w:rsidR="00740610" w:rsidRPr="00A63A18">
        <w:rPr>
          <w:rFonts w:ascii="Arial" w:hAnsi="Arial" w:cs="Arial"/>
          <w:sz w:val="24"/>
          <w:szCs w:val="24"/>
        </w:rPr>
        <w:t xml:space="preserve"> 2003)</w:t>
      </w:r>
      <w:r w:rsidR="00EC5799">
        <w:rPr>
          <w:rFonts w:ascii="Arial" w:hAnsi="Arial" w:cs="Arial"/>
          <w:sz w:val="24"/>
          <w:szCs w:val="24"/>
        </w:rPr>
        <w:t>;</w:t>
      </w:r>
      <w:r w:rsidR="00DE75B5">
        <w:rPr>
          <w:rFonts w:ascii="Arial" w:hAnsi="Arial" w:cs="Arial"/>
          <w:sz w:val="24"/>
          <w:szCs w:val="24"/>
        </w:rPr>
        <w:t xml:space="preserve"> algunas posturas </w:t>
      </w:r>
      <w:r w:rsidR="008E5540">
        <w:rPr>
          <w:rFonts w:ascii="Arial" w:hAnsi="Arial" w:cs="Arial"/>
          <w:sz w:val="24"/>
          <w:szCs w:val="24"/>
        </w:rPr>
        <w:t xml:space="preserve">doctrinarias </w:t>
      </w:r>
      <w:r w:rsidR="00DE75B5">
        <w:rPr>
          <w:rFonts w:ascii="Arial" w:hAnsi="Arial" w:cs="Arial"/>
          <w:sz w:val="24"/>
          <w:szCs w:val="24"/>
        </w:rPr>
        <w:t xml:space="preserve">sostienen que </w:t>
      </w:r>
      <w:r w:rsidR="00740610" w:rsidRPr="00A63A18">
        <w:rPr>
          <w:rFonts w:ascii="Arial" w:hAnsi="Arial" w:cs="Arial"/>
          <w:sz w:val="24"/>
          <w:szCs w:val="24"/>
        </w:rPr>
        <w:t>responde al pensamiento liberal el concebir a un individuo abstracto como suj</w:t>
      </w:r>
      <w:r w:rsidR="00EC5799">
        <w:rPr>
          <w:rFonts w:ascii="Arial" w:hAnsi="Arial" w:cs="Arial"/>
          <w:sz w:val="24"/>
          <w:szCs w:val="24"/>
        </w:rPr>
        <w:t xml:space="preserve">eto de los derechos </w:t>
      </w:r>
      <w:r w:rsidR="00740610" w:rsidRPr="00A63A18">
        <w:rPr>
          <w:rFonts w:ascii="Arial" w:hAnsi="Arial" w:cs="Arial"/>
          <w:sz w:val="24"/>
          <w:szCs w:val="24"/>
        </w:rPr>
        <w:t>fundamentales, “un hombre”, que en principio formalmente incluía a la mujer, pero que en los hech</w:t>
      </w:r>
      <w:r w:rsidR="00BE46E9">
        <w:rPr>
          <w:rFonts w:ascii="Arial" w:hAnsi="Arial" w:cs="Arial"/>
          <w:sz w:val="24"/>
          <w:szCs w:val="24"/>
        </w:rPr>
        <w:t>os la excluía de los derechos</w:t>
      </w:r>
      <w:r w:rsidR="00DE75B5">
        <w:rPr>
          <w:rFonts w:ascii="Arial" w:hAnsi="Arial" w:cs="Arial"/>
          <w:sz w:val="24"/>
          <w:szCs w:val="24"/>
        </w:rPr>
        <w:t xml:space="preserve"> </w:t>
      </w:r>
      <w:r w:rsidR="00DE75B5" w:rsidRPr="00A63A18">
        <w:rPr>
          <w:rFonts w:ascii="Arial" w:hAnsi="Arial" w:cs="Arial"/>
          <w:sz w:val="24"/>
          <w:szCs w:val="24"/>
        </w:rPr>
        <w:t>(</w:t>
      </w:r>
      <w:proofErr w:type="spellStart"/>
      <w:r w:rsidR="00DE75B5" w:rsidRPr="00A63A18">
        <w:rPr>
          <w:rFonts w:ascii="Arial" w:hAnsi="Arial" w:cs="Arial"/>
          <w:sz w:val="24"/>
          <w:szCs w:val="24"/>
        </w:rPr>
        <w:t>MacKinnon</w:t>
      </w:r>
      <w:proofErr w:type="spellEnd"/>
      <w:r w:rsidR="00DE75B5">
        <w:rPr>
          <w:rFonts w:ascii="Arial" w:hAnsi="Arial" w:cs="Arial"/>
          <w:sz w:val="24"/>
          <w:szCs w:val="24"/>
        </w:rPr>
        <w:t>,</w:t>
      </w:r>
      <w:r w:rsidR="00DE75B5" w:rsidRPr="00A63A18">
        <w:rPr>
          <w:rFonts w:ascii="Arial" w:hAnsi="Arial" w:cs="Arial"/>
          <w:sz w:val="24"/>
          <w:szCs w:val="24"/>
        </w:rPr>
        <w:t xml:space="preserve"> 1989)</w:t>
      </w:r>
      <w:r w:rsidR="00BE46E9">
        <w:rPr>
          <w:rFonts w:ascii="Arial" w:hAnsi="Arial" w:cs="Arial"/>
          <w:sz w:val="24"/>
          <w:szCs w:val="24"/>
        </w:rPr>
        <w:t xml:space="preserve">. </w:t>
      </w:r>
    </w:p>
    <w:p w14:paraId="609C5230" w14:textId="06ACC138" w:rsidR="00BE46E9" w:rsidRDefault="00BE46E9" w:rsidP="00F912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la progresividad que caracteriza a los derechos humanos, esta</w:t>
      </w:r>
      <w:r w:rsidR="00740610" w:rsidRPr="00A63A18">
        <w:rPr>
          <w:rFonts w:ascii="Arial" w:hAnsi="Arial" w:cs="Arial"/>
          <w:sz w:val="24"/>
          <w:szCs w:val="24"/>
        </w:rPr>
        <w:t xml:space="preserve"> concepción </w:t>
      </w:r>
      <w:proofErr w:type="spellStart"/>
      <w:r w:rsidR="00740610" w:rsidRPr="00A63A18">
        <w:rPr>
          <w:rFonts w:ascii="Arial" w:hAnsi="Arial" w:cs="Arial"/>
          <w:sz w:val="24"/>
          <w:szCs w:val="24"/>
        </w:rPr>
        <w:t>androcentrista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40610" w:rsidRPr="00A63A18">
        <w:rPr>
          <w:rFonts w:ascii="Arial" w:hAnsi="Arial" w:cs="Arial"/>
          <w:sz w:val="24"/>
          <w:szCs w:val="24"/>
        </w:rPr>
        <w:t>ha ido evolucionando, gracias a</w:t>
      </w:r>
      <w:r>
        <w:rPr>
          <w:rFonts w:ascii="Arial" w:hAnsi="Arial" w:cs="Arial"/>
          <w:sz w:val="24"/>
          <w:szCs w:val="24"/>
        </w:rPr>
        <w:t xml:space="preserve"> la lucha de diversos grupos sociales en reclamo por sus derechos, como el</w:t>
      </w:r>
      <w:r w:rsidR="00740610" w:rsidRPr="00A63A18">
        <w:rPr>
          <w:rFonts w:ascii="Arial" w:hAnsi="Arial" w:cs="Arial"/>
          <w:sz w:val="24"/>
          <w:szCs w:val="24"/>
        </w:rPr>
        <w:t xml:space="preserve"> movimiento internacional de mujeres </w:t>
      </w:r>
      <w:r>
        <w:rPr>
          <w:rFonts w:ascii="Arial" w:hAnsi="Arial" w:cs="Arial"/>
          <w:sz w:val="24"/>
          <w:szCs w:val="24"/>
        </w:rPr>
        <w:t xml:space="preserve">y </w:t>
      </w:r>
      <w:r w:rsidR="00DA0793">
        <w:rPr>
          <w:rFonts w:ascii="Arial" w:hAnsi="Arial" w:cs="Arial"/>
          <w:sz w:val="24"/>
          <w:szCs w:val="24"/>
        </w:rPr>
        <w:t>los movimientos de identidades sexuales disidentes.</w:t>
      </w:r>
    </w:p>
    <w:p w14:paraId="17267E01" w14:textId="025BE5F7" w:rsidR="003D1FF0" w:rsidRPr="00A63A18" w:rsidRDefault="00F9125E" w:rsidP="00F912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>En este último sentido, cuando enseñamos la evolución de los derechos humanos nos referimos finalmente al proceso de e</w:t>
      </w:r>
      <w:r w:rsidR="00366917" w:rsidRPr="00A63A18">
        <w:rPr>
          <w:rFonts w:ascii="Arial" w:hAnsi="Arial" w:cs="Arial"/>
          <w:sz w:val="24"/>
          <w:szCs w:val="24"/>
        </w:rPr>
        <w:t xml:space="preserve">specificación, </w:t>
      </w:r>
      <w:r w:rsidRPr="00A63A18">
        <w:rPr>
          <w:rFonts w:ascii="Arial" w:hAnsi="Arial" w:cs="Arial"/>
          <w:sz w:val="24"/>
          <w:szCs w:val="24"/>
        </w:rPr>
        <w:t xml:space="preserve"> por el cual </w:t>
      </w:r>
      <w:r w:rsidR="00366917" w:rsidRPr="00A63A18">
        <w:rPr>
          <w:rFonts w:ascii="Arial" w:hAnsi="Arial" w:cs="Arial"/>
          <w:sz w:val="24"/>
          <w:szCs w:val="24"/>
        </w:rPr>
        <w:t xml:space="preserve">se desarrollaron normas y procedimientos a fin de </w:t>
      </w:r>
      <w:r w:rsidR="003D1FF0" w:rsidRPr="00A63A18">
        <w:rPr>
          <w:rFonts w:ascii="Arial" w:hAnsi="Arial" w:cs="Arial"/>
          <w:sz w:val="24"/>
          <w:szCs w:val="24"/>
        </w:rPr>
        <w:t>garantizar</w:t>
      </w:r>
      <w:r w:rsidR="00366917" w:rsidRPr="00A63A18">
        <w:rPr>
          <w:rFonts w:ascii="Arial" w:hAnsi="Arial" w:cs="Arial"/>
          <w:sz w:val="24"/>
          <w:szCs w:val="24"/>
        </w:rPr>
        <w:t xml:space="preserve"> </w:t>
      </w:r>
      <w:r w:rsidR="003D1FF0" w:rsidRPr="00A63A18">
        <w:rPr>
          <w:rFonts w:ascii="Arial" w:hAnsi="Arial" w:cs="Arial"/>
          <w:sz w:val="24"/>
          <w:szCs w:val="24"/>
        </w:rPr>
        <w:t xml:space="preserve">los derechos de ciertos grupos sociales </w:t>
      </w:r>
      <w:r w:rsidR="002812BB">
        <w:rPr>
          <w:rFonts w:ascii="Arial" w:hAnsi="Arial" w:cs="Arial"/>
          <w:sz w:val="24"/>
          <w:szCs w:val="24"/>
        </w:rPr>
        <w:t xml:space="preserve">como las mujeres, </w:t>
      </w:r>
      <w:proofErr w:type="spellStart"/>
      <w:r w:rsidR="002812BB">
        <w:rPr>
          <w:rFonts w:ascii="Arial" w:hAnsi="Arial" w:cs="Arial"/>
          <w:sz w:val="24"/>
          <w:szCs w:val="24"/>
        </w:rPr>
        <w:t>lx</w:t>
      </w:r>
      <w:r w:rsidR="00366917" w:rsidRPr="00A63A18">
        <w:rPr>
          <w:rFonts w:ascii="Arial" w:hAnsi="Arial" w:cs="Arial"/>
          <w:sz w:val="24"/>
          <w:szCs w:val="24"/>
        </w:rPr>
        <w:t>s</w:t>
      </w:r>
      <w:proofErr w:type="spellEnd"/>
      <w:r w:rsidR="00366917" w:rsidRPr="00A63A18">
        <w:rPr>
          <w:rFonts w:ascii="Arial" w:hAnsi="Arial" w:cs="Arial"/>
          <w:sz w:val="24"/>
          <w:szCs w:val="24"/>
        </w:rPr>
        <w:t xml:space="preserve"> niños, niñas y adolescentes, las personas con discapacidad, las personas migrantes y refugiadas</w:t>
      </w:r>
      <w:r w:rsidR="004375CA" w:rsidRPr="00A63A18">
        <w:rPr>
          <w:rFonts w:ascii="Arial" w:hAnsi="Arial" w:cs="Arial"/>
          <w:sz w:val="24"/>
          <w:szCs w:val="24"/>
        </w:rPr>
        <w:t xml:space="preserve">, atendiendo </w:t>
      </w:r>
      <w:r w:rsidRPr="00A63A18">
        <w:rPr>
          <w:rFonts w:ascii="Arial" w:hAnsi="Arial" w:cs="Arial"/>
          <w:sz w:val="24"/>
          <w:szCs w:val="24"/>
        </w:rPr>
        <w:t>a sus demandas específicas, ya no se trataba de derechos basados</w:t>
      </w:r>
      <w:r w:rsidR="004375CA" w:rsidRPr="00A63A18">
        <w:rPr>
          <w:rFonts w:ascii="Arial" w:hAnsi="Arial" w:cs="Arial"/>
          <w:sz w:val="24"/>
          <w:szCs w:val="24"/>
        </w:rPr>
        <w:t xml:space="preserve"> en personas abstractas, sino </w:t>
      </w:r>
      <w:r w:rsidR="00BE46E9">
        <w:rPr>
          <w:rFonts w:ascii="Arial" w:hAnsi="Arial" w:cs="Arial"/>
          <w:sz w:val="24"/>
          <w:szCs w:val="24"/>
        </w:rPr>
        <w:t xml:space="preserve">que comenzó a considerarse </w:t>
      </w:r>
      <w:r w:rsidR="004375CA" w:rsidRPr="00A63A18">
        <w:rPr>
          <w:rFonts w:ascii="Arial" w:hAnsi="Arial" w:cs="Arial"/>
          <w:sz w:val="24"/>
          <w:szCs w:val="24"/>
        </w:rPr>
        <w:t xml:space="preserve">sus circunstancias específicas y su situación dentro </w:t>
      </w:r>
      <w:r w:rsidR="004375CA" w:rsidRPr="00F6429C">
        <w:rPr>
          <w:rFonts w:ascii="Arial" w:hAnsi="Arial" w:cs="Arial"/>
          <w:sz w:val="24"/>
          <w:szCs w:val="24"/>
        </w:rPr>
        <w:t>de la sociedad (</w:t>
      </w:r>
      <w:proofErr w:type="spellStart"/>
      <w:r w:rsidR="00F6429C" w:rsidRPr="00F6429C">
        <w:rPr>
          <w:rFonts w:ascii="Arial" w:hAnsi="Arial" w:cs="Arial"/>
          <w:sz w:val="24"/>
          <w:szCs w:val="24"/>
        </w:rPr>
        <w:t>Bobbio</w:t>
      </w:r>
      <w:proofErr w:type="spellEnd"/>
      <w:r w:rsidR="00F6429C" w:rsidRPr="00F6429C">
        <w:rPr>
          <w:rFonts w:ascii="Arial" w:hAnsi="Arial" w:cs="Arial"/>
          <w:sz w:val="24"/>
          <w:szCs w:val="24"/>
        </w:rPr>
        <w:t>, 1991</w:t>
      </w:r>
      <w:r w:rsidR="004375CA" w:rsidRPr="00F6429C">
        <w:rPr>
          <w:rFonts w:ascii="Arial" w:hAnsi="Arial" w:cs="Arial"/>
          <w:sz w:val="24"/>
          <w:szCs w:val="24"/>
        </w:rPr>
        <w:t>)</w:t>
      </w:r>
      <w:r w:rsidR="00822A55" w:rsidRPr="00F6429C">
        <w:rPr>
          <w:rFonts w:ascii="Arial" w:hAnsi="Arial" w:cs="Arial"/>
          <w:sz w:val="24"/>
          <w:szCs w:val="24"/>
        </w:rPr>
        <w:t>.</w:t>
      </w:r>
    </w:p>
    <w:p w14:paraId="70A8F425" w14:textId="77777777" w:rsidR="003D1FF0" w:rsidRPr="00A63A18" w:rsidRDefault="003D1FF0" w:rsidP="003D1F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401B62" w14:textId="70FD7C24" w:rsidR="00BE46E9" w:rsidRPr="00A63A18" w:rsidRDefault="00BE46E9" w:rsidP="00BE46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Particularmente, </w:t>
      </w:r>
      <w:r w:rsidR="00DE75B5">
        <w:rPr>
          <w:rFonts w:ascii="Arial" w:hAnsi="Arial" w:cs="Arial"/>
          <w:sz w:val="24"/>
          <w:szCs w:val="24"/>
        </w:rPr>
        <w:t>tengo interés en</w:t>
      </w:r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lxs</w:t>
      </w:r>
      <w:proofErr w:type="spellEnd"/>
      <w:r>
        <w:rPr>
          <w:rFonts w:ascii="Arial" w:hAnsi="Arial" w:cs="Arial"/>
          <w:sz w:val="24"/>
          <w:szCs w:val="24"/>
        </w:rPr>
        <w:t xml:space="preserve"> estudiantes entiendan a los derechos humanos como </w:t>
      </w:r>
      <w:r w:rsidRPr="00A63A18">
        <w:rPr>
          <w:rFonts w:ascii="Arial" w:hAnsi="Arial" w:cs="Arial"/>
          <w:sz w:val="24"/>
          <w:szCs w:val="24"/>
        </w:rPr>
        <w:t xml:space="preserve">una construcción histórico social y como tal debemos visibilizar la lucha de los distintos movimientos sociales en la construcción de los derechos.    </w:t>
      </w:r>
    </w:p>
    <w:p w14:paraId="12CC26B6" w14:textId="63C74FB1" w:rsidR="00BE2C41" w:rsidRDefault="001868FD" w:rsidP="00BE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relación </w:t>
      </w:r>
      <w:r w:rsidR="00BE46E9">
        <w:rPr>
          <w:rFonts w:ascii="Arial" w:hAnsi="Arial" w:cs="Arial"/>
          <w:sz w:val="24"/>
          <w:szCs w:val="24"/>
        </w:rPr>
        <w:t>al enfoque de género, en mate</w:t>
      </w:r>
      <w:r w:rsidR="00606353" w:rsidRPr="00A63A18">
        <w:rPr>
          <w:rFonts w:ascii="Arial" w:hAnsi="Arial" w:cs="Arial"/>
          <w:sz w:val="24"/>
          <w:szCs w:val="24"/>
        </w:rPr>
        <w:t xml:space="preserve">ria de derechos humanos de las mujeres </w:t>
      </w:r>
      <w:r w:rsidR="004D1C74" w:rsidRPr="00A63A18">
        <w:rPr>
          <w:rFonts w:ascii="Arial" w:hAnsi="Arial" w:cs="Arial"/>
          <w:sz w:val="24"/>
          <w:szCs w:val="24"/>
        </w:rPr>
        <w:t>ha habido una evolución a partir de 19</w:t>
      </w:r>
      <w:r w:rsidR="00BE2C41">
        <w:rPr>
          <w:rFonts w:ascii="Arial" w:hAnsi="Arial" w:cs="Arial"/>
          <w:sz w:val="24"/>
          <w:szCs w:val="24"/>
        </w:rPr>
        <w:t xml:space="preserve">79 con la aprobación de la </w:t>
      </w:r>
      <w:r w:rsidR="00096A38">
        <w:rPr>
          <w:rFonts w:ascii="Arial" w:hAnsi="Arial" w:cs="Arial"/>
          <w:sz w:val="24"/>
          <w:szCs w:val="24"/>
        </w:rPr>
        <w:t>Convención sobre la Eliminación de Todas la Formas de Discriminación contra la Mujer (</w:t>
      </w:r>
      <w:r w:rsidR="00BE2C41">
        <w:rPr>
          <w:rFonts w:ascii="Arial" w:hAnsi="Arial" w:cs="Arial"/>
          <w:sz w:val="24"/>
          <w:szCs w:val="24"/>
        </w:rPr>
        <w:t>CEDAW</w:t>
      </w:r>
      <w:r w:rsidR="00096A38">
        <w:rPr>
          <w:rFonts w:ascii="Arial" w:hAnsi="Arial" w:cs="Arial"/>
          <w:sz w:val="24"/>
          <w:szCs w:val="24"/>
        </w:rPr>
        <w:t>)</w:t>
      </w:r>
      <w:r w:rsidR="004D1C74" w:rsidRPr="00A63A18">
        <w:rPr>
          <w:rFonts w:ascii="Arial" w:hAnsi="Arial" w:cs="Arial"/>
          <w:sz w:val="24"/>
          <w:szCs w:val="24"/>
        </w:rPr>
        <w:t>, luego la Declaración y Pla</w:t>
      </w:r>
      <w:r w:rsidR="00606353" w:rsidRPr="00A63A18">
        <w:rPr>
          <w:rFonts w:ascii="Arial" w:hAnsi="Arial" w:cs="Arial"/>
          <w:sz w:val="24"/>
          <w:szCs w:val="24"/>
        </w:rPr>
        <w:t xml:space="preserve">taforma de Acción de Beijing, </w:t>
      </w:r>
      <w:r w:rsidR="004D1C74" w:rsidRPr="00A63A18">
        <w:rPr>
          <w:rFonts w:ascii="Arial" w:hAnsi="Arial" w:cs="Arial"/>
          <w:sz w:val="24"/>
          <w:szCs w:val="24"/>
        </w:rPr>
        <w:t xml:space="preserve">a nivel regional la Convención </w:t>
      </w:r>
      <w:r w:rsidR="00E5294A" w:rsidRPr="00A63A18">
        <w:rPr>
          <w:rFonts w:ascii="Arial" w:hAnsi="Arial" w:cs="Arial"/>
          <w:sz w:val="24"/>
          <w:szCs w:val="24"/>
        </w:rPr>
        <w:t>Interamericana para Prevenir, Sancionar y Erradic</w:t>
      </w:r>
      <w:r w:rsidR="00ED6528" w:rsidRPr="00A63A18">
        <w:rPr>
          <w:rFonts w:ascii="Arial" w:hAnsi="Arial" w:cs="Arial"/>
          <w:sz w:val="24"/>
          <w:szCs w:val="24"/>
        </w:rPr>
        <w:t xml:space="preserve">ar la Violencia contra la Mujer. Por su parte los tribunales </w:t>
      </w:r>
      <w:r w:rsidR="00B1253E" w:rsidRPr="00A63A18">
        <w:rPr>
          <w:rFonts w:ascii="Arial" w:hAnsi="Arial" w:cs="Arial"/>
          <w:sz w:val="24"/>
          <w:szCs w:val="24"/>
        </w:rPr>
        <w:t>internacio</w:t>
      </w:r>
      <w:r w:rsidR="00096A38">
        <w:rPr>
          <w:rFonts w:ascii="Arial" w:hAnsi="Arial" w:cs="Arial"/>
          <w:sz w:val="24"/>
          <w:szCs w:val="24"/>
        </w:rPr>
        <w:t>nales de derechos humanos</w:t>
      </w:r>
      <w:r w:rsidR="00B1253E" w:rsidRPr="00A63A18">
        <w:rPr>
          <w:rFonts w:ascii="Arial" w:hAnsi="Arial" w:cs="Arial"/>
          <w:sz w:val="24"/>
          <w:szCs w:val="24"/>
        </w:rPr>
        <w:t xml:space="preserve"> </w:t>
      </w:r>
      <w:r w:rsidR="00ED6528" w:rsidRPr="00A63A18">
        <w:rPr>
          <w:rFonts w:ascii="Arial" w:hAnsi="Arial" w:cs="Arial"/>
          <w:sz w:val="24"/>
          <w:szCs w:val="24"/>
        </w:rPr>
        <w:t xml:space="preserve">han acompañado este proceso con su evolución jurisprudencial </w:t>
      </w:r>
      <w:r w:rsidR="004D1C74" w:rsidRPr="00A63A18">
        <w:rPr>
          <w:rFonts w:ascii="Arial" w:hAnsi="Arial" w:cs="Arial"/>
          <w:sz w:val="24"/>
          <w:szCs w:val="24"/>
        </w:rPr>
        <w:t>en materia de igualdad de género y violencia</w:t>
      </w:r>
      <w:r w:rsidR="00606353" w:rsidRPr="00A63A18">
        <w:rPr>
          <w:rFonts w:ascii="Arial" w:hAnsi="Arial" w:cs="Arial"/>
          <w:sz w:val="24"/>
          <w:szCs w:val="24"/>
        </w:rPr>
        <w:t>s</w:t>
      </w:r>
      <w:r w:rsidR="004D1C74" w:rsidRPr="00A63A18">
        <w:rPr>
          <w:rFonts w:ascii="Arial" w:hAnsi="Arial" w:cs="Arial"/>
          <w:sz w:val="24"/>
          <w:szCs w:val="24"/>
        </w:rPr>
        <w:t xml:space="preserve"> contra las mujeres</w:t>
      </w:r>
      <w:r w:rsidR="00E5294A" w:rsidRPr="00A63A18">
        <w:rPr>
          <w:rFonts w:ascii="Arial" w:hAnsi="Arial" w:cs="Arial"/>
          <w:sz w:val="24"/>
          <w:szCs w:val="24"/>
        </w:rPr>
        <w:t xml:space="preserve">, en especial la Corte </w:t>
      </w:r>
      <w:r w:rsidR="00096A38">
        <w:rPr>
          <w:rFonts w:ascii="Arial" w:hAnsi="Arial" w:cs="Arial"/>
          <w:sz w:val="24"/>
          <w:szCs w:val="24"/>
        </w:rPr>
        <w:t>Interamericana de Derechos Humanos</w:t>
      </w:r>
      <w:r w:rsidR="00E5294A" w:rsidRPr="00A63A18">
        <w:rPr>
          <w:rFonts w:ascii="Arial" w:hAnsi="Arial" w:cs="Arial"/>
          <w:sz w:val="24"/>
          <w:szCs w:val="24"/>
        </w:rPr>
        <w:t xml:space="preserve">. </w:t>
      </w:r>
      <w:r w:rsidR="002812BB">
        <w:rPr>
          <w:rFonts w:ascii="Arial" w:hAnsi="Arial" w:cs="Arial"/>
          <w:sz w:val="24"/>
          <w:szCs w:val="24"/>
        </w:rPr>
        <w:t xml:space="preserve"> Con relación a las identidades sexuales disidentes</w:t>
      </w:r>
      <w:r w:rsidR="00BE2C41">
        <w:rPr>
          <w:rFonts w:ascii="Arial" w:hAnsi="Arial" w:cs="Arial"/>
          <w:sz w:val="24"/>
          <w:szCs w:val="24"/>
        </w:rPr>
        <w:t xml:space="preserve">, en 2006, </w:t>
      </w:r>
      <w:r w:rsidR="00BE2C41" w:rsidRPr="00BE2C41">
        <w:rPr>
          <w:rFonts w:ascii="Arial" w:hAnsi="Arial" w:cs="Arial"/>
          <w:sz w:val="24"/>
          <w:szCs w:val="24"/>
        </w:rPr>
        <w:t xml:space="preserve">en respuesta a los abusos y situaciones de violencias dirigidas a las personas por su orientación sexual o identidad de género, un grupo internacional de </w:t>
      </w:r>
      <w:proofErr w:type="spellStart"/>
      <w:r w:rsidR="00BE2C41" w:rsidRPr="00BE2C41">
        <w:rPr>
          <w:rFonts w:ascii="Arial" w:hAnsi="Arial" w:cs="Arial"/>
          <w:sz w:val="24"/>
          <w:szCs w:val="24"/>
        </w:rPr>
        <w:t>expert</w:t>
      </w:r>
      <w:r w:rsidR="00E41180">
        <w:rPr>
          <w:rFonts w:ascii="Arial" w:hAnsi="Arial" w:cs="Arial"/>
          <w:sz w:val="24"/>
          <w:szCs w:val="24"/>
        </w:rPr>
        <w:t>x</w:t>
      </w:r>
      <w:r w:rsidR="00BE2C41" w:rsidRPr="00BE2C41">
        <w:rPr>
          <w:rFonts w:ascii="Arial" w:hAnsi="Arial" w:cs="Arial"/>
          <w:sz w:val="24"/>
          <w:szCs w:val="24"/>
        </w:rPr>
        <w:t>s</w:t>
      </w:r>
      <w:proofErr w:type="spellEnd"/>
      <w:r w:rsidR="00BE2C4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C41">
        <w:rPr>
          <w:rFonts w:ascii="Arial" w:hAnsi="Arial" w:cs="Arial"/>
          <w:sz w:val="24"/>
          <w:szCs w:val="24"/>
        </w:rPr>
        <w:t>reunidxs</w:t>
      </w:r>
      <w:proofErr w:type="spellEnd"/>
      <w:r w:rsidR="00BE2C41">
        <w:rPr>
          <w:rFonts w:ascii="Arial" w:hAnsi="Arial" w:cs="Arial"/>
          <w:sz w:val="24"/>
          <w:szCs w:val="24"/>
        </w:rPr>
        <w:t xml:space="preserve"> en la </w:t>
      </w:r>
      <w:r w:rsidR="00BE2C41" w:rsidRPr="00BE2C41">
        <w:rPr>
          <w:rFonts w:ascii="Arial" w:hAnsi="Arial" w:cs="Arial"/>
          <w:sz w:val="24"/>
          <w:szCs w:val="24"/>
        </w:rPr>
        <w:t>Ciudad de Yogyakarta (Indonesia)</w:t>
      </w:r>
      <w:r w:rsidR="00BE2C41">
        <w:rPr>
          <w:rFonts w:ascii="Arial" w:hAnsi="Arial" w:cs="Arial"/>
          <w:sz w:val="24"/>
          <w:szCs w:val="24"/>
        </w:rPr>
        <w:t>,</w:t>
      </w:r>
      <w:r w:rsidR="00BE2C41" w:rsidRPr="00BE2C41">
        <w:rPr>
          <w:rFonts w:ascii="Arial" w:hAnsi="Arial" w:cs="Arial"/>
          <w:sz w:val="24"/>
          <w:szCs w:val="24"/>
        </w:rPr>
        <w:t xml:space="preserve"> </w:t>
      </w:r>
      <w:r w:rsidR="00BE2C41">
        <w:rPr>
          <w:rFonts w:ascii="Arial" w:hAnsi="Arial" w:cs="Arial"/>
          <w:sz w:val="24"/>
          <w:szCs w:val="24"/>
        </w:rPr>
        <w:t>desarrollaron y aprobaron</w:t>
      </w:r>
      <w:r w:rsidR="00BE2C41" w:rsidRPr="00BE2C41">
        <w:rPr>
          <w:rFonts w:ascii="Arial" w:hAnsi="Arial" w:cs="Arial"/>
          <w:sz w:val="24"/>
          <w:szCs w:val="24"/>
        </w:rPr>
        <w:t xml:space="preserve"> un conjunto de principios que sirvieran para garantizar la efectiva aplicación de los estándares internacionales de derechos humanos frente a las violaciones sufridas </w:t>
      </w:r>
      <w:r w:rsidR="002812BB">
        <w:rPr>
          <w:rFonts w:ascii="Arial" w:hAnsi="Arial" w:cs="Arial"/>
          <w:sz w:val="24"/>
          <w:szCs w:val="24"/>
        </w:rPr>
        <w:t>por estos grupos sociales</w:t>
      </w:r>
      <w:r w:rsidR="00BE2C41">
        <w:rPr>
          <w:rFonts w:ascii="Arial" w:hAnsi="Arial" w:cs="Arial"/>
          <w:sz w:val="24"/>
          <w:szCs w:val="24"/>
        </w:rPr>
        <w:t>; estos avances se replicaron también a nivel interamericano.</w:t>
      </w:r>
      <w:r w:rsidR="00BE2C41" w:rsidRPr="00BE2C41">
        <w:rPr>
          <w:rFonts w:ascii="Arial" w:hAnsi="Arial" w:cs="Arial"/>
          <w:sz w:val="24"/>
          <w:szCs w:val="24"/>
        </w:rPr>
        <w:t xml:space="preserve"> </w:t>
      </w:r>
    </w:p>
    <w:p w14:paraId="16DB4B0A" w14:textId="77777777" w:rsidR="001868FD" w:rsidRDefault="001868FD" w:rsidP="00BE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F94B1B" w14:textId="1CEE7C42" w:rsidR="00633490" w:rsidRPr="00A57EE1" w:rsidRDefault="00633490" w:rsidP="00A57E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57EE1">
        <w:rPr>
          <w:rFonts w:ascii="Arial" w:hAnsi="Arial" w:cs="Arial"/>
          <w:b/>
          <w:bCs/>
          <w:sz w:val="24"/>
          <w:szCs w:val="24"/>
        </w:rPr>
        <w:t>El poder transformador del Derecho</w:t>
      </w:r>
    </w:p>
    <w:p w14:paraId="2C9C83BD" w14:textId="1158860E" w:rsidR="00D01ED1" w:rsidRDefault="00206206" w:rsidP="00BE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 xml:space="preserve">Rita </w:t>
      </w:r>
      <w:proofErr w:type="spellStart"/>
      <w:r w:rsidRPr="00A63A18">
        <w:rPr>
          <w:rFonts w:ascii="Arial" w:hAnsi="Arial" w:cs="Arial"/>
          <w:sz w:val="24"/>
          <w:szCs w:val="24"/>
        </w:rPr>
        <w:t>Segato</w:t>
      </w:r>
      <w:proofErr w:type="spellEnd"/>
      <w:r w:rsidRPr="00A63A18">
        <w:rPr>
          <w:rFonts w:ascii="Arial" w:hAnsi="Arial" w:cs="Arial"/>
          <w:sz w:val="24"/>
          <w:szCs w:val="24"/>
        </w:rPr>
        <w:t xml:space="preserve"> (2003) refiere al papel reformador de la ley; la ley puede impulsar, sensibilizar y transformar la moral que sustenta las costumbres y el esquema jerárquico de la sociedad. La verdadera eficacia de la ley residiría en </w:t>
      </w:r>
      <w:r w:rsidR="001868FD">
        <w:rPr>
          <w:rFonts w:ascii="Arial" w:hAnsi="Arial" w:cs="Arial"/>
          <w:sz w:val="24"/>
          <w:szCs w:val="24"/>
        </w:rPr>
        <w:t>su poder de representar la sociedad</w:t>
      </w:r>
      <w:r w:rsidRPr="00A63A18">
        <w:rPr>
          <w:rFonts w:ascii="Arial" w:hAnsi="Arial" w:cs="Arial"/>
          <w:sz w:val="24"/>
          <w:szCs w:val="24"/>
        </w:rPr>
        <w:t xml:space="preserve"> y del carácter persuasivo de las representaciones que ella emite. P</w:t>
      </w:r>
      <w:r w:rsidR="001868FD">
        <w:rPr>
          <w:rFonts w:ascii="Arial" w:hAnsi="Arial" w:cs="Arial"/>
          <w:sz w:val="24"/>
          <w:szCs w:val="24"/>
        </w:rPr>
        <w:t>or otra parte, la</w:t>
      </w:r>
      <w:r w:rsidRPr="00A63A18">
        <w:rPr>
          <w:rFonts w:ascii="Arial" w:hAnsi="Arial" w:cs="Arial"/>
          <w:sz w:val="24"/>
          <w:szCs w:val="24"/>
        </w:rPr>
        <w:t xml:space="preserve"> fuerza social del derecho no se limita a la imposición de un comportamiento, sino que se encuentra en su carácter de discurso legítimo, en su capacidad para crear representaciones de las cuales se derive </w:t>
      </w:r>
      <w:r w:rsidR="007679B5">
        <w:rPr>
          <w:rFonts w:ascii="Arial" w:hAnsi="Arial" w:cs="Arial"/>
          <w:sz w:val="24"/>
          <w:szCs w:val="24"/>
        </w:rPr>
        <w:t>un respaldo político y</w:t>
      </w:r>
      <w:r w:rsidRPr="00A63A18">
        <w:rPr>
          <w:rFonts w:ascii="Arial" w:hAnsi="Arial" w:cs="Arial"/>
          <w:sz w:val="24"/>
          <w:szCs w:val="24"/>
        </w:rPr>
        <w:t xml:space="preserve"> en su aptitud para movilizar a los individuos e</w:t>
      </w:r>
      <w:r w:rsidR="00BE46E9">
        <w:rPr>
          <w:rFonts w:ascii="Arial" w:hAnsi="Arial" w:cs="Arial"/>
          <w:sz w:val="24"/>
          <w:szCs w:val="24"/>
        </w:rPr>
        <w:t>n beneficio de una idea (García Villegas, 1995)</w:t>
      </w:r>
      <w:r w:rsidRPr="00A63A18">
        <w:rPr>
          <w:rFonts w:ascii="Arial" w:hAnsi="Arial" w:cs="Arial"/>
          <w:sz w:val="24"/>
          <w:szCs w:val="24"/>
        </w:rPr>
        <w:t>.</w:t>
      </w:r>
    </w:p>
    <w:p w14:paraId="36121210" w14:textId="55176E2A" w:rsidR="00E41180" w:rsidRPr="00A63A18" w:rsidRDefault="00E41180" w:rsidP="00BE2C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esta razón, como docentes debemos </w:t>
      </w:r>
      <w:r w:rsidRPr="00E41180">
        <w:rPr>
          <w:rFonts w:ascii="Arial" w:hAnsi="Arial" w:cs="Arial"/>
          <w:sz w:val="24"/>
          <w:szCs w:val="24"/>
        </w:rPr>
        <w:t xml:space="preserve">generar conciencia sobre el androcentrismo del derecho, y que por lo tanto </w:t>
      </w:r>
      <w:r w:rsidR="008D11F2">
        <w:rPr>
          <w:rFonts w:ascii="Arial" w:hAnsi="Arial" w:cs="Arial"/>
          <w:sz w:val="24"/>
          <w:szCs w:val="24"/>
        </w:rPr>
        <w:t xml:space="preserve">las normas generales que </w:t>
      </w:r>
      <w:r w:rsidR="008D11F2">
        <w:rPr>
          <w:rFonts w:ascii="Arial" w:hAnsi="Arial" w:cs="Arial"/>
          <w:sz w:val="24"/>
          <w:szCs w:val="24"/>
        </w:rPr>
        <w:lastRenderedPageBreak/>
        <w:t xml:space="preserve">supuestamente van </w:t>
      </w:r>
      <w:r w:rsidRPr="00E41180">
        <w:rPr>
          <w:rFonts w:ascii="Arial" w:hAnsi="Arial" w:cs="Arial"/>
          <w:sz w:val="24"/>
          <w:szCs w:val="24"/>
        </w:rPr>
        <w:t xml:space="preserve">dirigidas a </w:t>
      </w:r>
      <w:proofErr w:type="spellStart"/>
      <w:r w:rsidRPr="00E41180">
        <w:rPr>
          <w:rFonts w:ascii="Arial" w:hAnsi="Arial" w:cs="Arial"/>
          <w:sz w:val="24"/>
          <w:szCs w:val="24"/>
        </w:rPr>
        <w:t>todxs</w:t>
      </w:r>
      <w:proofErr w:type="spellEnd"/>
      <w:r w:rsidRPr="00E411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1180">
        <w:rPr>
          <w:rFonts w:ascii="Arial" w:hAnsi="Arial" w:cs="Arial"/>
          <w:sz w:val="24"/>
          <w:szCs w:val="24"/>
        </w:rPr>
        <w:t>lxs</w:t>
      </w:r>
      <w:proofErr w:type="spellEnd"/>
      <w:r w:rsidRPr="00E41180">
        <w:rPr>
          <w:rFonts w:ascii="Arial" w:hAnsi="Arial" w:cs="Arial"/>
          <w:sz w:val="24"/>
          <w:szCs w:val="24"/>
        </w:rPr>
        <w:t xml:space="preserve"> seres humanos y </w:t>
      </w:r>
      <w:r w:rsidR="008D11F2">
        <w:rPr>
          <w:rFonts w:ascii="Arial" w:hAnsi="Arial" w:cs="Arial"/>
          <w:sz w:val="24"/>
          <w:szCs w:val="24"/>
        </w:rPr>
        <w:t xml:space="preserve">que </w:t>
      </w:r>
      <w:r w:rsidRPr="00E41180">
        <w:rPr>
          <w:rFonts w:ascii="Arial" w:hAnsi="Arial" w:cs="Arial"/>
          <w:sz w:val="24"/>
          <w:szCs w:val="24"/>
        </w:rPr>
        <w:t xml:space="preserve">tendrían efectos similares en </w:t>
      </w:r>
      <w:proofErr w:type="spellStart"/>
      <w:r w:rsidRPr="00E41180">
        <w:rPr>
          <w:rFonts w:ascii="Arial" w:hAnsi="Arial" w:cs="Arial"/>
          <w:sz w:val="24"/>
          <w:szCs w:val="24"/>
        </w:rPr>
        <w:t>todxs</w:t>
      </w:r>
      <w:proofErr w:type="spellEnd"/>
      <w:r w:rsidRPr="00E41180">
        <w:rPr>
          <w:rFonts w:ascii="Arial" w:hAnsi="Arial" w:cs="Arial"/>
          <w:sz w:val="24"/>
          <w:szCs w:val="24"/>
        </w:rPr>
        <w:t>, no son neutrales en términos de género sino que parten del sexo masculino como representante de la especie toda</w:t>
      </w:r>
      <w:r>
        <w:rPr>
          <w:rFonts w:ascii="Arial" w:hAnsi="Arial" w:cs="Arial"/>
          <w:sz w:val="24"/>
          <w:szCs w:val="24"/>
        </w:rPr>
        <w:t xml:space="preserve"> (F</w:t>
      </w:r>
      <w:r w:rsidRPr="00E41180">
        <w:rPr>
          <w:rFonts w:ascii="Arial" w:hAnsi="Arial" w:cs="Arial"/>
          <w:sz w:val="24"/>
          <w:szCs w:val="24"/>
        </w:rPr>
        <w:t>acio</w:t>
      </w:r>
      <w:r>
        <w:rPr>
          <w:rFonts w:ascii="Arial" w:hAnsi="Arial" w:cs="Arial"/>
          <w:sz w:val="24"/>
          <w:szCs w:val="24"/>
        </w:rPr>
        <w:t xml:space="preserve">, </w:t>
      </w:r>
      <w:r w:rsidRPr="00E41180">
        <w:rPr>
          <w:rFonts w:ascii="Arial" w:hAnsi="Arial" w:cs="Arial"/>
          <w:sz w:val="24"/>
          <w:szCs w:val="24"/>
        </w:rPr>
        <w:t>1999)</w:t>
      </w:r>
      <w:r w:rsidR="008D11F2">
        <w:rPr>
          <w:rFonts w:ascii="Arial" w:hAnsi="Arial" w:cs="Arial"/>
          <w:sz w:val="24"/>
          <w:szCs w:val="24"/>
        </w:rPr>
        <w:t xml:space="preserve">; partiendo de esta reflexión deberíamos revisar las </w:t>
      </w:r>
      <w:r w:rsidRPr="00E41180">
        <w:rPr>
          <w:rFonts w:ascii="Arial" w:hAnsi="Arial" w:cs="Arial"/>
          <w:sz w:val="24"/>
          <w:szCs w:val="24"/>
        </w:rPr>
        <w:t>prácticas jurídicas, legislación, procedimientos, e instituciones de carácter patriarcal</w:t>
      </w:r>
      <w:r w:rsidR="008D11F2">
        <w:rPr>
          <w:rFonts w:ascii="Arial" w:hAnsi="Arial" w:cs="Arial"/>
          <w:sz w:val="24"/>
          <w:szCs w:val="24"/>
        </w:rPr>
        <w:t xml:space="preserve">, </w:t>
      </w:r>
      <w:r w:rsidR="008D11F2" w:rsidRPr="00B565EC">
        <w:rPr>
          <w:rFonts w:ascii="Arial" w:hAnsi="Arial" w:cs="Arial"/>
          <w:sz w:val="24"/>
          <w:szCs w:val="24"/>
        </w:rPr>
        <w:t xml:space="preserve">porque el derecho es </w:t>
      </w:r>
      <w:r w:rsidRPr="00B565EC">
        <w:rPr>
          <w:rFonts w:ascii="Arial" w:hAnsi="Arial" w:cs="Arial"/>
          <w:sz w:val="24"/>
          <w:szCs w:val="24"/>
        </w:rPr>
        <w:t>un instrumento de articulación del sistema patriarcal, a través del cual se regulan las conductas de hombres y mujeres hacia un determinado modelo de convivencia, y se modelan las identidades de género de forma tal, que respondan a las funciones ideológicament</w:t>
      </w:r>
      <w:r w:rsidR="00B565EC">
        <w:rPr>
          <w:rFonts w:ascii="Arial" w:hAnsi="Arial" w:cs="Arial"/>
          <w:sz w:val="24"/>
          <w:szCs w:val="24"/>
        </w:rPr>
        <w:t>e asignadas a hombres y mujeres (Facio, 1999).</w:t>
      </w:r>
    </w:p>
    <w:p w14:paraId="4FAF6A45" w14:textId="0BD06266" w:rsidR="00522954" w:rsidRPr="00A63A18" w:rsidRDefault="00522954" w:rsidP="00083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 xml:space="preserve">Y en este sentido resulta fundamental la incorporación </w:t>
      </w:r>
      <w:r w:rsidR="00BA2785">
        <w:rPr>
          <w:rFonts w:ascii="Arial" w:hAnsi="Arial" w:cs="Arial"/>
          <w:sz w:val="24"/>
          <w:szCs w:val="24"/>
        </w:rPr>
        <w:t>de la perspectiva de género</w:t>
      </w:r>
      <w:r w:rsidRPr="00A63A18">
        <w:rPr>
          <w:rFonts w:ascii="Arial" w:hAnsi="Arial" w:cs="Arial"/>
          <w:sz w:val="24"/>
          <w:szCs w:val="24"/>
        </w:rPr>
        <w:t xml:space="preserve"> en la </w:t>
      </w:r>
      <w:r w:rsidR="001D379D">
        <w:rPr>
          <w:rFonts w:ascii="Arial" w:hAnsi="Arial" w:cs="Arial"/>
          <w:sz w:val="24"/>
          <w:szCs w:val="24"/>
        </w:rPr>
        <w:t xml:space="preserve">enseñanza del derecho, </w:t>
      </w:r>
      <w:r w:rsidR="001868FD">
        <w:rPr>
          <w:rFonts w:ascii="Arial" w:hAnsi="Arial" w:cs="Arial"/>
          <w:sz w:val="24"/>
          <w:szCs w:val="24"/>
        </w:rPr>
        <w:t>que implica reconocer que una cosa es la diferencia sexual y otra cosa son las atribuciones, ideas, representaciones y prescripciones sociales que se construyen tomando como referencia esa diferencia sexual (Lamas, 1996); esta perspectiva de género constituye una</w:t>
      </w:r>
      <w:r w:rsidR="001D379D">
        <w:rPr>
          <w:rFonts w:ascii="Arial" w:hAnsi="Arial" w:cs="Arial"/>
          <w:sz w:val="24"/>
          <w:szCs w:val="24"/>
        </w:rPr>
        <w:t xml:space="preserve"> </w:t>
      </w:r>
      <w:r w:rsidR="001D379D" w:rsidRPr="001D379D">
        <w:rPr>
          <w:rFonts w:ascii="Arial" w:hAnsi="Arial" w:cs="Arial"/>
          <w:sz w:val="24"/>
          <w:szCs w:val="24"/>
        </w:rPr>
        <w:t>caja de herramientas que perm</w:t>
      </w:r>
      <w:r w:rsidR="001D379D">
        <w:rPr>
          <w:rFonts w:ascii="Arial" w:hAnsi="Arial" w:cs="Arial"/>
          <w:sz w:val="24"/>
          <w:szCs w:val="24"/>
        </w:rPr>
        <w:t xml:space="preserve">ite analizar, diseñar </w:t>
      </w:r>
      <w:r w:rsidR="001868FD">
        <w:rPr>
          <w:rFonts w:ascii="Arial" w:hAnsi="Arial" w:cs="Arial"/>
          <w:sz w:val="24"/>
          <w:szCs w:val="24"/>
        </w:rPr>
        <w:t xml:space="preserve">y aplicar </w:t>
      </w:r>
      <w:r w:rsidR="00CD7C85">
        <w:rPr>
          <w:rFonts w:ascii="Arial" w:hAnsi="Arial" w:cs="Arial"/>
          <w:sz w:val="24"/>
          <w:szCs w:val="24"/>
        </w:rPr>
        <w:t>políticas públicas, normas y teorías jurídicas</w:t>
      </w:r>
      <w:r w:rsidR="001D379D" w:rsidRPr="001D379D">
        <w:rPr>
          <w:rFonts w:ascii="Arial" w:hAnsi="Arial" w:cs="Arial"/>
          <w:sz w:val="24"/>
          <w:szCs w:val="24"/>
        </w:rPr>
        <w:t xml:space="preserve"> que atiendan a las desigualdades basadas en el género (</w:t>
      </w:r>
      <w:proofErr w:type="spellStart"/>
      <w:r w:rsidR="001D379D" w:rsidRPr="001D379D">
        <w:rPr>
          <w:rFonts w:ascii="Arial" w:hAnsi="Arial" w:cs="Arial"/>
          <w:sz w:val="24"/>
          <w:szCs w:val="24"/>
        </w:rPr>
        <w:t>Bergallo</w:t>
      </w:r>
      <w:proofErr w:type="spellEnd"/>
      <w:r w:rsidR="001D379D" w:rsidRPr="001D379D">
        <w:rPr>
          <w:rFonts w:ascii="Arial" w:hAnsi="Arial" w:cs="Arial"/>
          <w:sz w:val="24"/>
          <w:szCs w:val="24"/>
        </w:rPr>
        <w:t xml:space="preserve"> y Moreno, 2017)</w:t>
      </w:r>
      <w:r w:rsidR="001D379D">
        <w:rPr>
          <w:rFonts w:ascii="Arial" w:hAnsi="Arial" w:cs="Arial"/>
          <w:sz w:val="24"/>
          <w:szCs w:val="24"/>
        </w:rPr>
        <w:t>.</w:t>
      </w:r>
    </w:p>
    <w:p w14:paraId="24379FE5" w14:textId="18E99D50" w:rsidR="00083475" w:rsidRPr="00A63A18" w:rsidRDefault="00522954" w:rsidP="00083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 xml:space="preserve">Como señala </w:t>
      </w:r>
      <w:proofErr w:type="spellStart"/>
      <w:r w:rsidRPr="00A63A18">
        <w:rPr>
          <w:rFonts w:ascii="Arial" w:hAnsi="Arial" w:cs="Arial"/>
          <w:sz w:val="24"/>
          <w:szCs w:val="24"/>
        </w:rPr>
        <w:t>Mackinnon</w:t>
      </w:r>
      <w:proofErr w:type="spellEnd"/>
      <w:r w:rsidRPr="00A63A18">
        <w:rPr>
          <w:rFonts w:ascii="Arial" w:hAnsi="Arial" w:cs="Arial"/>
          <w:sz w:val="24"/>
          <w:szCs w:val="24"/>
        </w:rPr>
        <w:t xml:space="preserve"> (2005) la perspectiva de género debe ser transversal a todas las asignaturas y debe ser un criterio que guíe tanto el estudio, la interpretación y aplicación del derecho en sus distintas ramas. </w:t>
      </w:r>
    </w:p>
    <w:p w14:paraId="5544C514" w14:textId="11D52C33" w:rsidR="00AB7C68" w:rsidRPr="00A63A18" w:rsidRDefault="00BA2785" w:rsidP="00083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 fundamental en una carrera como abogacía la e</w:t>
      </w:r>
      <w:r w:rsidR="00AB7C68" w:rsidRPr="00A63A18">
        <w:rPr>
          <w:rFonts w:ascii="Arial" w:hAnsi="Arial" w:cs="Arial"/>
          <w:sz w:val="24"/>
          <w:szCs w:val="24"/>
        </w:rPr>
        <w:t>ducación en derechos humanos con enfoque de género</w:t>
      </w:r>
      <w:r>
        <w:rPr>
          <w:rFonts w:ascii="Arial" w:hAnsi="Arial" w:cs="Arial"/>
          <w:sz w:val="24"/>
          <w:szCs w:val="24"/>
        </w:rPr>
        <w:t>,</w:t>
      </w:r>
      <w:r w:rsidR="00AB7C68" w:rsidRPr="00A63A18">
        <w:rPr>
          <w:rFonts w:ascii="Arial" w:hAnsi="Arial" w:cs="Arial"/>
          <w:sz w:val="24"/>
          <w:szCs w:val="24"/>
        </w:rPr>
        <w:t xml:space="preserve"> teniendo en cuenta </w:t>
      </w:r>
      <w:r w:rsidR="0061309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esta carrera</w:t>
      </w:r>
      <w:r w:rsidR="00AB7C68" w:rsidRPr="00A63A18">
        <w:rPr>
          <w:rFonts w:ascii="Arial" w:hAnsi="Arial" w:cs="Arial"/>
          <w:sz w:val="24"/>
          <w:szCs w:val="24"/>
        </w:rPr>
        <w:t xml:space="preserve"> genera egresad</w:t>
      </w:r>
      <w:r w:rsidR="00E41180">
        <w:rPr>
          <w:rFonts w:ascii="Arial" w:hAnsi="Arial" w:cs="Arial"/>
          <w:sz w:val="24"/>
          <w:szCs w:val="24"/>
        </w:rPr>
        <w:t>os y egresada</w:t>
      </w:r>
      <w:r w:rsidR="00AB7C68" w:rsidRPr="00A63A18">
        <w:rPr>
          <w:rFonts w:ascii="Arial" w:hAnsi="Arial" w:cs="Arial"/>
          <w:sz w:val="24"/>
          <w:szCs w:val="24"/>
        </w:rPr>
        <w:t>s, que en gran parte van a ocupar cargos en organismos estatales, en el poder judicial, en el poder legislativo, en lugares de toma de decisiones relevantes para el funcionamiento de la sociedad (</w:t>
      </w:r>
      <w:proofErr w:type="spellStart"/>
      <w:r w:rsidR="00AB7C68" w:rsidRPr="00A63A18">
        <w:rPr>
          <w:rFonts w:ascii="Arial" w:hAnsi="Arial" w:cs="Arial"/>
          <w:sz w:val="24"/>
          <w:szCs w:val="24"/>
        </w:rPr>
        <w:t>Rodino</w:t>
      </w:r>
      <w:proofErr w:type="spellEnd"/>
      <w:r w:rsidR="00AB7C68" w:rsidRPr="00A63A18">
        <w:rPr>
          <w:rFonts w:ascii="Arial" w:hAnsi="Arial" w:cs="Arial"/>
          <w:sz w:val="24"/>
          <w:szCs w:val="24"/>
        </w:rPr>
        <w:t xml:space="preserve">, </w:t>
      </w:r>
      <w:r w:rsidR="000B3055">
        <w:rPr>
          <w:rFonts w:ascii="Arial" w:hAnsi="Arial" w:cs="Arial"/>
          <w:sz w:val="24"/>
          <w:szCs w:val="24"/>
        </w:rPr>
        <w:t>2011</w:t>
      </w:r>
      <w:r w:rsidR="00AB7C68" w:rsidRPr="00A63A18">
        <w:rPr>
          <w:rFonts w:ascii="Arial" w:hAnsi="Arial" w:cs="Arial"/>
          <w:sz w:val="24"/>
          <w:szCs w:val="24"/>
        </w:rPr>
        <w:t>).</w:t>
      </w:r>
    </w:p>
    <w:p w14:paraId="7637A354" w14:textId="6F39072A" w:rsidR="00AB7C68" w:rsidRPr="00A63A18" w:rsidRDefault="00AB7C68" w:rsidP="00083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3A18">
        <w:rPr>
          <w:rFonts w:ascii="Arial" w:hAnsi="Arial" w:cs="Arial"/>
          <w:sz w:val="24"/>
          <w:szCs w:val="24"/>
        </w:rPr>
        <w:t xml:space="preserve">Entre los desafíos que entonces se nos presentan a </w:t>
      </w:r>
      <w:proofErr w:type="spellStart"/>
      <w:r w:rsidR="000B3055">
        <w:rPr>
          <w:rFonts w:ascii="Arial" w:hAnsi="Arial" w:cs="Arial"/>
          <w:sz w:val="24"/>
          <w:szCs w:val="24"/>
        </w:rPr>
        <w:t>lxs</w:t>
      </w:r>
      <w:proofErr w:type="spellEnd"/>
      <w:r w:rsidRPr="00A63A18">
        <w:rPr>
          <w:rFonts w:ascii="Arial" w:hAnsi="Arial" w:cs="Arial"/>
          <w:sz w:val="24"/>
          <w:szCs w:val="24"/>
        </w:rPr>
        <w:t xml:space="preserve"> docentes, uno es el de encontrar y producir materiales de estudio que </w:t>
      </w:r>
      <w:r w:rsidR="00BA2785">
        <w:rPr>
          <w:rFonts w:ascii="Arial" w:hAnsi="Arial" w:cs="Arial"/>
          <w:sz w:val="24"/>
          <w:szCs w:val="24"/>
        </w:rPr>
        <w:t>presenten</w:t>
      </w:r>
      <w:r w:rsidRPr="00A63A18">
        <w:rPr>
          <w:rFonts w:ascii="Arial" w:hAnsi="Arial" w:cs="Arial"/>
          <w:sz w:val="24"/>
          <w:szCs w:val="24"/>
        </w:rPr>
        <w:t xml:space="preserve"> perspectiva de género, profundizar en la jurisprudencia internacional y nacional que respete ese enfoque. </w:t>
      </w:r>
      <w:r w:rsidR="00DB270D">
        <w:rPr>
          <w:rFonts w:ascii="Arial" w:hAnsi="Arial" w:cs="Arial"/>
          <w:sz w:val="24"/>
          <w:szCs w:val="24"/>
        </w:rPr>
        <w:t>En la asignatura Derechos Humanos, más allá de que contempla una unidad sobre la t</w:t>
      </w:r>
      <w:r w:rsidR="00DB270D" w:rsidRPr="0029339E">
        <w:rPr>
          <w:rFonts w:ascii="Arial" w:hAnsi="Arial" w:cs="Arial"/>
          <w:sz w:val="24"/>
          <w:szCs w:val="24"/>
        </w:rPr>
        <w:t xml:space="preserve">emática de género, </w:t>
      </w:r>
      <w:r w:rsidR="00DB270D">
        <w:rPr>
          <w:rFonts w:ascii="Arial" w:hAnsi="Arial" w:cs="Arial"/>
          <w:sz w:val="24"/>
          <w:szCs w:val="24"/>
        </w:rPr>
        <w:t xml:space="preserve">debemos incorporar la </w:t>
      </w:r>
      <w:r w:rsidR="00DB270D" w:rsidRPr="0029339E">
        <w:rPr>
          <w:rFonts w:ascii="Arial" w:hAnsi="Arial" w:cs="Arial"/>
          <w:sz w:val="24"/>
          <w:szCs w:val="24"/>
        </w:rPr>
        <w:t xml:space="preserve">perspectiva de género en cada una de las unidades del programa, </w:t>
      </w:r>
      <w:r w:rsidR="00DB270D">
        <w:rPr>
          <w:rFonts w:ascii="Arial" w:hAnsi="Arial" w:cs="Arial"/>
          <w:sz w:val="24"/>
          <w:szCs w:val="24"/>
        </w:rPr>
        <w:t xml:space="preserve">cuando nos referimos a los </w:t>
      </w:r>
      <w:r w:rsidR="00DB270D">
        <w:rPr>
          <w:rFonts w:ascii="Arial" w:hAnsi="Arial" w:cs="Arial"/>
          <w:sz w:val="24"/>
          <w:szCs w:val="24"/>
        </w:rPr>
        <w:lastRenderedPageBreak/>
        <w:t xml:space="preserve">derechos civiles, a los derechos políticos, a los derechos económicos, sociales y culturales </w:t>
      </w:r>
      <w:r w:rsidR="00096A38">
        <w:rPr>
          <w:rFonts w:ascii="Arial" w:hAnsi="Arial" w:cs="Arial"/>
          <w:sz w:val="24"/>
          <w:szCs w:val="24"/>
        </w:rPr>
        <w:t xml:space="preserve">y </w:t>
      </w:r>
      <w:r w:rsidR="00DB270D">
        <w:rPr>
          <w:rFonts w:ascii="Arial" w:hAnsi="Arial" w:cs="Arial"/>
          <w:sz w:val="24"/>
          <w:szCs w:val="24"/>
        </w:rPr>
        <w:t xml:space="preserve">al ejercicio de las garantías procesales.  </w:t>
      </w:r>
    </w:p>
    <w:p w14:paraId="0F4D18E4" w14:textId="77777777" w:rsidR="000A72E7" w:rsidRDefault="000A72E7" w:rsidP="000834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A9109E" w14:textId="53B6A0BE" w:rsidR="000A72E7" w:rsidRPr="00A57EE1" w:rsidRDefault="000A72E7" w:rsidP="00A57EE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57EE1">
        <w:rPr>
          <w:rFonts w:ascii="Arial" w:hAnsi="Arial" w:cs="Arial"/>
          <w:b/>
          <w:bCs/>
          <w:sz w:val="24"/>
          <w:szCs w:val="24"/>
        </w:rPr>
        <w:t>Conclusión</w:t>
      </w:r>
    </w:p>
    <w:p w14:paraId="051BCE1E" w14:textId="3733F005" w:rsidR="002B47B8" w:rsidRDefault="002B47B8" w:rsidP="002B47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087146">
        <w:rPr>
          <w:rFonts w:ascii="Arial" w:hAnsi="Arial" w:cs="Arial"/>
          <w:sz w:val="24"/>
          <w:szCs w:val="24"/>
        </w:rPr>
        <w:t>Universidad es un instrumento de mejora social</w:t>
      </w:r>
      <w:r w:rsidR="00DA0793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debe contribuir al </w:t>
      </w:r>
      <w:r w:rsidRPr="00087146">
        <w:rPr>
          <w:rFonts w:ascii="Arial" w:hAnsi="Arial" w:cs="Arial"/>
          <w:sz w:val="24"/>
          <w:szCs w:val="24"/>
        </w:rPr>
        <w:t xml:space="preserve">fortalecimiento de las instituciones democráticas, y especialmente </w:t>
      </w:r>
      <w:r>
        <w:rPr>
          <w:rFonts w:ascii="Arial" w:hAnsi="Arial" w:cs="Arial"/>
          <w:sz w:val="24"/>
          <w:szCs w:val="24"/>
        </w:rPr>
        <w:t>las facultades de derecho, a</w:t>
      </w:r>
      <w:r w:rsidRPr="00087146">
        <w:rPr>
          <w:rFonts w:ascii="Arial" w:hAnsi="Arial" w:cs="Arial"/>
          <w:sz w:val="24"/>
          <w:szCs w:val="24"/>
        </w:rPr>
        <w:t xml:space="preserve"> afianzar los valores de la justicia y el respeto por los derechos humanos, comenzando por el principio de igualdad y no discriminación.</w:t>
      </w:r>
    </w:p>
    <w:p w14:paraId="0A843297" w14:textId="221B7C62" w:rsidR="000A72E7" w:rsidRDefault="000A72E7" w:rsidP="000A72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Ese poder de representar a la sociedad que tiene el derecho, y al que nos referimos anteriormente, </w:t>
      </w:r>
      <w:r w:rsidR="00BE64B8">
        <w:rPr>
          <w:rFonts w:ascii="Arial" w:hAnsi="Arial" w:cs="Arial"/>
          <w:sz w:val="24"/>
          <w:szCs w:val="24"/>
        </w:rPr>
        <w:t xml:space="preserve">nos lleva </w:t>
      </w:r>
      <w:r w:rsidR="00BE64B8" w:rsidRPr="00A63A18">
        <w:rPr>
          <w:rFonts w:ascii="Arial" w:hAnsi="Arial" w:cs="Arial"/>
          <w:sz w:val="24"/>
          <w:szCs w:val="24"/>
        </w:rPr>
        <w:t xml:space="preserve">a reflexionar sobre la oportunidad que tenemos </w:t>
      </w:r>
      <w:proofErr w:type="spellStart"/>
      <w:r w:rsidR="00BE64B8">
        <w:rPr>
          <w:rFonts w:ascii="Arial" w:hAnsi="Arial" w:cs="Arial"/>
          <w:sz w:val="24"/>
          <w:szCs w:val="24"/>
        </w:rPr>
        <w:t>lxs</w:t>
      </w:r>
      <w:proofErr w:type="spellEnd"/>
      <w:r w:rsidR="00BE64B8">
        <w:rPr>
          <w:rFonts w:ascii="Arial" w:hAnsi="Arial" w:cs="Arial"/>
          <w:sz w:val="24"/>
          <w:szCs w:val="24"/>
        </w:rPr>
        <w:t xml:space="preserve"> docentes</w:t>
      </w:r>
      <w:r w:rsidR="00BE64B8" w:rsidRPr="00A63A18">
        <w:rPr>
          <w:rFonts w:ascii="Arial" w:hAnsi="Arial" w:cs="Arial"/>
          <w:sz w:val="24"/>
          <w:szCs w:val="24"/>
        </w:rPr>
        <w:t xml:space="preserve"> de la carrera de abogacía, y especialmente de la materia Derechos Humanos, de enseñar y transmitir e</w:t>
      </w:r>
      <w:r>
        <w:rPr>
          <w:rFonts w:ascii="Arial" w:hAnsi="Arial" w:cs="Arial"/>
          <w:sz w:val="24"/>
          <w:szCs w:val="24"/>
        </w:rPr>
        <w:t>l</w:t>
      </w:r>
      <w:r w:rsidR="00BE64B8" w:rsidRPr="00A63A18">
        <w:rPr>
          <w:rFonts w:ascii="Arial" w:hAnsi="Arial" w:cs="Arial"/>
          <w:sz w:val="24"/>
          <w:szCs w:val="24"/>
        </w:rPr>
        <w:t xml:space="preserve"> poder transformador que tiene el derecho, la sensibilidad ética q</w:t>
      </w:r>
      <w:r w:rsidR="00BE64B8">
        <w:rPr>
          <w:rFonts w:ascii="Arial" w:hAnsi="Arial" w:cs="Arial"/>
          <w:sz w:val="24"/>
          <w:szCs w:val="24"/>
        </w:rPr>
        <w:t>ue lo inspira, la sensibilidad al otro (</w:t>
      </w:r>
      <w:proofErr w:type="spellStart"/>
      <w:r w:rsidR="00BE64B8">
        <w:rPr>
          <w:rFonts w:ascii="Arial" w:hAnsi="Arial" w:cs="Arial"/>
          <w:sz w:val="24"/>
          <w:szCs w:val="24"/>
        </w:rPr>
        <w:t>Segato</w:t>
      </w:r>
      <w:proofErr w:type="spellEnd"/>
      <w:r w:rsidR="00BE64B8">
        <w:rPr>
          <w:rFonts w:ascii="Arial" w:hAnsi="Arial" w:cs="Arial"/>
          <w:sz w:val="24"/>
          <w:szCs w:val="24"/>
        </w:rPr>
        <w:t>, 2003</w:t>
      </w:r>
      <w:r w:rsidR="00BE64B8" w:rsidRPr="00A63A18">
        <w:rPr>
          <w:rFonts w:ascii="Arial" w:hAnsi="Arial" w:cs="Arial"/>
          <w:sz w:val="24"/>
          <w:szCs w:val="24"/>
        </w:rPr>
        <w:t>).</w:t>
      </w:r>
      <w:r w:rsidRPr="000A7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en este sentido, sensibilizar sobre la necesidad del enfoque de género, nos permit</w:t>
      </w:r>
      <w:r w:rsidR="00240E4C">
        <w:rPr>
          <w:rFonts w:ascii="Arial" w:hAnsi="Arial" w:cs="Arial"/>
          <w:sz w:val="24"/>
          <w:szCs w:val="24"/>
        </w:rPr>
        <w:t>irá</w:t>
      </w:r>
      <w:r>
        <w:rPr>
          <w:rFonts w:ascii="Arial" w:hAnsi="Arial" w:cs="Arial"/>
          <w:sz w:val="24"/>
          <w:szCs w:val="24"/>
        </w:rPr>
        <w:t xml:space="preserve"> generar en </w:t>
      </w:r>
      <w:proofErr w:type="spellStart"/>
      <w:r>
        <w:rPr>
          <w:rFonts w:ascii="Arial" w:hAnsi="Arial" w:cs="Arial"/>
          <w:sz w:val="24"/>
          <w:szCs w:val="24"/>
        </w:rPr>
        <w:t>lxs</w:t>
      </w:r>
      <w:proofErr w:type="spellEnd"/>
      <w:r>
        <w:rPr>
          <w:rFonts w:ascii="Arial" w:hAnsi="Arial" w:cs="Arial"/>
          <w:sz w:val="24"/>
          <w:szCs w:val="24"/>
        </w:rPr>
        <w:t xml:space="preserve"> estudiantes pensamiento y lectura crítica de la legis</w:t>
      </w:r>
      <w:r w:rsidR="00505ADC">
        <w:rPr>
          <w:rFonts w:ascii="Arial" w:hAnsi="Arial" w:cs="Arial"/>
          <w:sz w:val="24"/>
          <w:szCs w:val="24"/>
        </w:rPr>
        <w:t>lación, los textos doctrinarios y</w:t>
      </w:r>
      <w:r>
        <w:rPr>
          <w:rFonts w:ascii="Arial" w:hAnsi="Arial" w:cs="Arial"/>
          <w:sz w:val="24"/>
          <w:szCs w:val="24"/>
        </w:rPr>
        <w:t xml:space="preserve"> decisiones judiciales, </w:t>
      </w:r>
      <w:r w:rsidR="00505ADC">
        <w:rPr>
          <w:rFonts w:ascii="Arial" w:hAnsi="Arial" w:cs="Arial"/>
          <w:sz w:val="24"/>
          <w:szCs w:val="24"/>
        </w:rPr>
        <w:t xml:space="preserve">que les permitan </w:t>
      </w:r>
      <w:r w:rsidR="00992C98">
        <w:rPr>
          <w:rFonts w:ascii="Arial" w:hAnsi="Arial" w:cs="Arial"/>
          <w:sz w:val="24"/>
          <w:szCs w:val="24"/>
        </w:rPr>
        <w:t>advertir</w:t>
      </w:r>
      <w:r w:rsidR="00505ADC">
        <w:rPr>
          <w:rFonts w:ascii="Arial" w:hAnsi="Arial" w:cs="Arial"/>
          <w:sz w:val="24"/>
          <w:szCs w:val="24"/>
        </w:rPr>
        <w:t xml:space="preserve"> los prejuicios y sesgos de género, y por otra parte promover una interpretación y aplicación de las normas de manera tal que se garantice efectivamente </w:t>
      </w:r>
      <w:r w:rsidR="00BC1D50">
        <w:rPr>
          <w:rFonts w:ascii="Arial" w:hAnsi="Arial" w:cs="Arial"/>
          <w:sz w:val="24"/>
          <w:szCs w:val="24"/>
        </w:rPr>
        <w:t xml:space="preserve">y en condiciones reales de igualdad </w:t>
      </w:r>
      <w:r w:rsidR="00505ADC">
        <w:rPr>
          <w:rFonts w:ascii="Arial" w:hAnsi="Arial" w:cs="Arial"/>
          <w:sz w:val="24"/>
          <w:szCs w:val="24"/>
        </w:rPr>
        <w:t>los</w:t>
      </w:r>
      <w:r w:rsidR="00DE59C0">
        <w:rPr>
          <w:rFonts w:ascii="Arial" w:hAnsi="Arial" w:cs="Arial"/>
          <w:sz w:val="24"/>
          <w:szCs w:val="24"/>
        </w:rPr>
        <w:t xml:space="preserve"> derechos a todas las personas.-</w:t>
      </w:r>
    </w:p>
    <w:p w14:paraId="092D565D" w14:textId="77777777" w:rsidR="00B23AB5" w:rsidRDefault="00B23AB5" w:rsidP="008936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16884A" w14:textId="7C0F63BF" w:rsidR="001D379D" w:rsidRPr="00A57EE1" w:rsidRDefault="001D379D" w:rsidP="00A57EE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57EE1">
        <w:rPr>
          <w:rFonts w:ascii="Arial" w:hAnsi="Arial" w:cs="Arial"/>
          <w:b/>
          <w:bCs/>
          <w:sz w:val="24"/>
          <w:szCs w:val="24"/>
        </w:rPr>
        <w:t>Bibliografía</w:t>
      </w:r>
    </w:p>
    <w:p w14:paraId="03089A2D" w14:textId="15420FCA" w:rsidR="001D379D" w:rsidRDefault="001D379D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1D379D">
        <w:rPr>
          <w:rFonts w:ascii="Arial" w:hAnsi="Arial" w:cs="Arial"/>
          <w:sz w:val="24"/>
          <w:szCs w:val="24"/>
        </w:rPr>
        <w:t>Bergallo</w:t>
      </w:r>
      <w:proofErr w:type="spellEnd"/>
      <w:r w:rsidR="00087146">
        <w:rPr>
          <w:rFonts w:ascii="Arial" w:hAnsi="Arial" w:cs="Arial"/>
          <w:sz w:val="24"/>
          <w:szCs w:val="24"/>
        </w:rPr>
        <w:t>, Paola</w:t>
      </w:r>
      <w:r w:rsidRPr="001D379D">
        <w:rPr>
          <w:rFonts w:ascii="Arial" w:hAnsi="Arial" w:cs="Arial"/>
          <w:sz w:val="24"/>
          <w:szCs w:val="24"/>
        </w:rPr>
        <w:t xml:space="preserve"> y Moreno</w:t>
      </w:r>
      <w:r w:rsidR="000871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7146">
        <w:rPr>
          <w:rFonts w:ascii="Arial" w:hAnsi="Arial" w:cs="Arial"/>
          <w:sz w:val="24"/>
          <w:szCs w:val="24"/>
        </w:rPr>
        <w:t>Aluminé</w:t>
      </w:r>
      <w:proofErr w:type="spellEnd"/>
      <w:r w:rsidRPr="001D379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D379D">
        <w:rPr>
          <w:rFonts w:ascii="Arial" w:hAnsi="Arial" w:cs="Arial"/>
          <w:sz w:val="24"/>
          <w:szCs w:val="24"/>
        </w:rPr>
        <w:t>coords</w:t>
      </w:r>
      <w:proofErr w:type="spellEnd"/>
      <w:r w:rsidRPr="001D379D">
        <w:rPr>
          <w:rFonts w:ascii="Arial" w:hAnsi="Arial" w:cs="Arial"/>
          <w:sz w:val="24"/>
          <w:szCs w:val="24"/>
        </w:rPr>
        <w:t>.)</w:t>
      </w:r>
      <w:r w:rsidR="00087146">
        <w:rPr>
          <w:rFonts w:ascii="Arial" w:hAnsi="Arial" w:cs="Arial"/>
          <w:sz w:val="24"/>
          <w:szCs w:val="24"/>
        </w:rPr>
        <w:t xml:space="preserve"> (2017).</w:t>
      </w:r>
      <w:r w:rsidRPr="001D379D">
        <w:rPr>
          <w:rFonts w:ascii="Arial" w:hAnsi="Arial" w:cs="Arial"/>
          <w:sz w:val="24"/>
          <w:szCs w:val="24"/>
        </w:rPr>
        <w:t xml:space="preserve"> Hacia políticas judiciales de género</w:t>
      </w:r>
      <w:r w:rsidR="00087146">
        <w:rPr>
          <w:rFonts w:ascii="Arial" w:hAnsi="Arial" w:cs="Arial"/>
          <w:sz w:val="24"/>
          <w:szCs w:val="24"/>
        </w:rPr>
        <w:t xml:space="preserve">. </w:t>
      </w:r>
      <w:r w:rsidR="0029339E">
        <w:rPr>
          <w:rFonts w:ascii="Arial" w:hAnsi="Arial" w:cs="Arial"/>
          <w:sz w:val="24"/>
          <w:szCs w:val="24"/>
        </w:rPr>
        <w:t xml:space="preserve">Poder Judicial de la Ciudad de Buenos Aires. Consejo de la Magistratura. Editorial </w:t>
      </w:r>
      <w:proofErr w:type="spellStart"/>
      <w:r w:rsidR="0029339E">
        <w:rPr>
          <w:rFonts w:ascii="Arial" w:hAnsi="Arial" w:cs="Arial"/>
          <w:sz w:val="24"/>
          <w:szCs w:val="24"/>
        </w:rPr>
        <w:t>Jusbaires</w:t>
      </w:r>
      <w:proofErr w:type="spellEnd"/>
      <w:r w:rsidR="0029339E">
        <w:rPr>
          <w:rFonts w:ascii="Arial" w:hAnsi="Arial" w:cs="Arial"/>
          <w:sz w:val="24"/>
          <w:szCs w:val="24"/>
        </w:rPr>
        <w:t xml:space="preserve">. Buenos Aires. </w:t>
      </w:r>
    </w:p>
    <w:p w14:paraId="13535460" w14:textId="2A50A929" w:rsidR="00F6429C" w:rsidRDefault="00F6429C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Bobbio</w:t>
      </w:r>
      <w:proofErr w:type="spellEnd"/>
      <w:r>
        <w:rPr>
          <w:rFonts w:ascii="Arial" w:hAnsi="Arial" w:cs="Arial"/>
          <w:sz w:val="24"/>
          <w:szCs w:val="24"/>
        </w:rPr>
        <w:t xml:space="preserve">, Norberto (1991). El tiempo de los derechos. Editorial Sistema. Madrid. </w:t>
      </w:r>
    </w:p>
    <w:p w14:paraId="69ECD6CA" w14:textId="60F43C4E" w:rsidR="00DF6167" w:rsidRDefault="00DF6167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F6167">
        <w:rPr>
          <w:rFonts w:ascii="Arial" w:hAnsi="Arial" w:cs="Arial"/>
          <w:sz w:val="24"/>
          <w:szCs w:val="24"/>
        </w:rPr>
        <w:t xml:space="preserve">Facio, </w:t>
      </w:r>
      <w:proofErr w:type="spellStart"/>
      <w:r w:rsidRPr="00DF6167">
        <w:rPr>
          <w:rFonts w:ascii="Arial" w:hAnsi="Arial" w:cs="Arial"/>
          <w:sz w:val="24"/>
          <w:szCs w:val="24"/>
        </w:rPr>
        <w:t>Alda</w:t>
      </w:r>
      <w:proofErr w:type="spellEnd"/>
      <w:r w:rsidRPr="00DF6167">
        <w:rPr>
          <w:rFonts w:ascii="Arial" w:hAnsi="Arial" w:cs="Arial"/>
          <w:sz w:val="24"/>
          <w:szCs w:val="24"/>
        </w:rPr>
        <w:t xml:space="preserve"> (2003). </w:t>
      </w:r>
      <w:r>
        <w:rPr>
          <w:rFonts w:ascii="Arial" w:hAnsi="Arial" w:cs="Arial"/>
          <w:sz w:val="24"/>
          <w:szCs w:val="24"/>
        </w:rPr>
        <w:t xml:space="preserve">Los Derechos Humanos desde una perspectiva de género y las Políticas Públicas. </w:t>
      </w:r>
      <w:r w:rsidRPr="00DF6167">
        <w:rPr>
          <w:rFonts w:ascii="Arial" w:hAnsi="Arial" w:cs="Arial"/>
          <w:sz w:val="24"/>
          <w:szCs w:val="24"/>
        </w:rPr>
        <w:t>Otras Miradas, 3(1),15-26</w:t>
      </w:r>
      <w:r w:rsidR="00B565EC">
        <w:rPr>
          <w:rFonts w:ascii="Arial" w:hAnsi="Arial" w:cs="Arial"/>
          <w:sz w:val="24"/>
          <w:szCs w:val="24"/>
        </w:rPr>
        <w:t xml:space="preserve">. </w:t>
      </w:r>
      <w:r w:rsidRPr="00DF6167">
        <w:rPr>
          <w:rFonts w:ascii="Arial" w:hAnsi="Arial" w:cs="Arial"/>
          <w:sz w:val="24"/>
          <w:szCs w:val="24"/>
        </w:rPr>
        <w:t xml:space="preserve">Disponible en:   </w:t>
      </w:r>
      <w:hyperlink r:id="rId7" w:history="1">
        <w:r w:rsidR="00B565EC" w:rsidRPr="006C339A">
          <w:rPr>
            <w:rStyle w:val="Hipervnculo"/>
            <w:rFonts w:ascii="Arial" w:hAnsi="Arial" w:cs="Arial"/>
            <w:sz w:val="24"/>
            <w:szCs w:val="24"/>
          </w:rPr>
          <w:t>https://www.redalyc.org/articulo.oa?id=18330102</w:t>
        </w:r>
      </w:hyperlink>
      <w:r w:rsidR="00B565EC">
        <w:rPr>
          <w:rFonts w:ascii="Arial" w:hAnsi="Arial" w:cs="Arial"/>
          <w:sz w:val="24"/>
          <w:szCs w:val="24"/>
        </w:rPr>
        <w:t xml:space="preserve">. </w:t>
      </w:r>
    </w:p>
    <w:p w14:paraId="413B3CFE" w14:textId="77777777" w:rsidR="0029339E" w:rsidRDefault="0029339E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Facio, </w:t>
      </w:r>
      <w:proofErr w:type="spellStart"/>
      <w:r>
        <w:rPr>
          <w:rFonts w:ascii="Arial" w:hAnsi="Arial" w:cs="Arial"/>
          <w:sz w:val="24"/>
          <w:szCs w:val="24"/>
        </w:rPr>
        <w:t>Alda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Fries</w:t>
      </w:r>
      <w:proofErr w:type="spellEnd"/>
      <w:r>
        <w:rPr>
          <w:rFonts w:ascii="Arial" w:hAnsi="Arial" w:cs="Arial"/>
          <w:sz w:val="24"/>
          <w:szCs w:val="24"/>
        </w:rPr>
        <w:t xml:space="preserve"> Lorena (</w:t>
      </w:r>
      <w:proofErr w:type="spellStart"/>
      <w:r>
        <w:rPr>
          <w:rFonts w:ascii="Arial" w:hAnsi="Arial" w:cs="Arial"/>
          <w:sz w:val="24"/>
          <w:szCs w:val="24"/>
        </w:rPr>
        <w:t>coords</w:t>
      </w:r>
      <w:proofErr w:type="spellEnd"/>
      <w:r>
        <w:rPr>
          <w:rFonts w:ascii="Arial" w:hAnsi="Arial" w:cs="Arial"/>
          <w:sz w:val="24"/>
          <w:szCs w:val="24"/>
        </w:rPr>
        <w:t>.) (1999). Género y Derecho. Editorial La Morada. Corporación de Desarrollo de la Mujer. Santiago de Chile.</w:t>
      </w:r>
    </w:p>
    <w:p w14:paraId="76A25BDE" w14:textId="5DCA5F11" w:rsidR="00C51C57" w:rsidRDefault="00C51C57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García Villegas, Mauricio (1995). La eficacia simbólica del derecho. Examen de situaciones colombianas. Ediciones </w:t>
      </w:r>
      <w:proofErr w:type="spellStart"/>
      <w:r>
        <w:rPr>
          <w:rFonts w:ascii="Arial" w:hAnsi="Arial" w:cs="Arial"/>
          <w:sz w:val="24"/>
          <w:szCs w:val="24"/>
        </w:rPr>
        <w:t>Uniandes</w:t>
      </w:r>
      <w:proofErr w:type="spellEnd"/>
      <w:r>
        <w:rPr>
          <w:rFonts w:ascii="Arial" w:hAnsi="Arial" w:cs="Arial"/>
          <w:sz w:val="24"/>
          <w:szCs w:val="24"/>
        </w:rPr>
        <w:t xml:space="preserve">. Bogotá. </w:t>
      </w:r>
    </w:p>
    <w:p w14:paraId="435F8DD8" w14:textId="37ADF72D" w:rsidR="0029339E" w:rsidRDefault="0029339E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Lamas, Marta (1996). La perspe</w:t>
      </w:r>
      <w:r w:rsidR="00C51C5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tiva de género”. Revista de Educación y Cultura de la Sección 47del SNT, 216-229, México. </w:t>
      </w:r>
    </w:p>
    <w:p w14:paraId="4475ED0C" w14:textId="77777777" w:rsidR="0029339E" w:rsidRDefault="0029339E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MacKinnon</w:t>
      </w:r>
      <w:proofErr w:type="spellEnd"/>
      <w:r>
        <w:rPr>
          <w:rFonts w:ascii="Arial" w:hAnsi="Arial" w:cs="Arial"/>
          <w:sz w:val="24"/>
          <w:szCs w:val="24"/>
        </w:rPr>
        <w:t xml:space="preserve">, Catherine (1989). Hacia una teoría feminista del Estado. Ediciones Cátedra. </w:t>
      </w:r>
      <w:proofErr w:type="spellStart"/>
      <w:r>
        <w:rPr>
          <w:rFonts w:ascii="Arial" w:hAnsi="Arial" w:cs="Arial"/>
          <w:sz w:val="24"/>
          <w:szCs w:val="24"/>
        </w:rPr>
        <w:t>Universitat</w:t>
      </w:r>
      <w:proofErr w:type="spellEnd"/>
      <w:r>
        <w:rPr>
          <w:rFonts w:ascii="Arial" w:hAnsi="Arial" w:cs="Arial"/>
          <w:sz w:val="24"/>
          <w:szCs w:val="24"/>
        </w:rPr>
        <w:t xml:space="preserve"> de Valencia.</w:t>
      </w:r>
    </w:p>
    <w:p w14:paraId="7B13CFAE" w14:textId="3509FA13" w:rsidR="0029339E" w:rsidRDefault="0029339E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Rodino</w:t>
      </w:r>
      <w:proofErr w:type="spellEnd"/>
      <w:r>
        <w:rPr>
          <w:rFonts w:ascii="Arial" w:hAnsi="Arial" w:cs="Arial"/>
          <w:sz w:val="24"/>
          <w:szCs w:val="24"/>
        </w:rPr>
        <w:t xml:space="preserve">, Ana María (2011). </w:t>
      </w:r>
      <w:r w:rsidRPr="0029339E">
        <w:rPr>
          <w:rFonts w:ascii="Arial" w:hAnsi="Arial" w:cs="Arial"/>
          <w:sz w:val="24"/>
          <w:szCs w:val="24"/>
        </w:rPr>
        <w:t>La educación con enfoque de derechos humanos como práctica c</w:t>
      </w:r>
      <w:r>
        <w:rPr>
          <w:rFonts w:ascii="Arial" w:hAnsi="Arial" w:cs="Arial"/>
          <w:sz w:val="24"/>
          <w:szCs w:val="24"/>
        </w:rPr>
        <w:t xml:space="preserve">onstructora de inclusión social. </w:t>
      </w:r>
      <w:r w:rsidRPr="0029339E">
        <w:rPr>
          <w:rFonts w:ascii="Arial" w:hAnsi="Arial" w:cs="Arial"/>
          <w:sz w:val="24"/>
          <w:szCs w:val="24"/>
        </w:rPr>
        <w:t>Revista Informe de Investigaciones Educativas, Número Especial sobre Educación en Derechos Humanos, Costa Rica</w:t>
      </w:r>
      <w:r>
        <w:rPr>
          <w:rFonts w:ascii="Arial" w:hAnsi="Arial" w:cs="Arial"/>
          <w:sz w:val="24"/>
          <w:szCs w:val="24"/>
        </w:rPr>
        <w:t>.</w:t>
      </w:r>
    </w:p>
    <w:p w14:paraId="68E197C1" w14:textId="77777777" w:rsidR="0029339E" w:rsidRDefault="0029339E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Segato</w:t>
      </w:r>
      <w:proofErr w:type="spellEnd"/>
      <w:r>
        <w:rPr>
          <w:rFonts w:ascii="Arial" w:hAnsi="Arial" w:cs="Arial"/>
          <w:sz w:val="24"/>
          <w:szCs w:val="24"/>
        </w:rPr>
        <w:t xml:space="preserve"> Rita (2003). La argamasa jerárquica: violencia moral, reproducción del mundo y eficacia simbólica del derecho. Brasilia. </w:t>
      </w:r>
    </w:p>
    <w:p w14:paraId="05E2CD10" w14:textId="3F82BBD8" w:rsidR="0029339E" w:rsidRPr="00A63A18" w:rsidRDefault="0029339E" w:rsidP="00A57EE1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9339E" w:rsidRPr="00A63A18" w:rsidSect="00A57EE1"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8DD57" w14:textId="77777777" w:rsidR="00E575EC" w:rsidRDefault="00E575EC" w:rsidP="00E248E6">
      <w:pPr>
        <w:spacing w:after="0" w:line="240" w:lineRule="auto"/>
      </w:pPr>
      <w:r>
        <w:separator/>
      </w:r>
    </w:p>
  </w:endnote>
  <w:endnote w:type="continuationSeparator" w:id="0">
    <w:p w14:paraId="37C567A8" w14:textId="77777777" w:rsidR="00E575EC" w:rsidRDefault="00E575EC" w:rsidP="00E2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F436D" w14:textId="77777777" w:rsidR="00E575EC" w:rsidRDefault="00E575EC" w:rsidP="00E248E6">
      <w:pPr>
        <w:spacing w:after="0" w:line="240" w:lineRule="auto"/>
      </w:pPr>
      <w:r>
        <w:separator/>
      </w:r>
    </w:p>
  </w:footnote>
  <w:footnote w:type="continuationSeparator" w:id="0">
    <w:p w14:paraId="007EF032" w14:textId="77777777" w:rsidR="00E575EC" w:rsidRDefault="00E575EC" w:rsidP="00E248E6">
      <w:pPr>
        <w:spacing w:after="0" w:line="240" w:lineRule="auto"/>
      </w:pPr>
      <w:r>
        <w:continuationSeparator/>
      </w:r>
    </w:p>
  </w:footnote>
  <w:footnote w:id="1">
    <w:p w14:paraId="72E9DE5C" w14:textId="79C5E4F5" w:rsidR="00E248E6" w:rsidRPr="00E248E6" w:rsidRDefault="00E248E6" w:rsidP="00A57EE1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E248E6">
        <w:rPr>
          <w:rFonts w:ascii="Arial" w:hAnsi="Arial" w:cs="Arial"/>
        </w:rPr>
        <w:t>Abogada. Docente Adjunta de Derechos Humanos y Garantías de la Facultad de Derecho de la Univer</w:t>
      </w:r>
      <w:r w:rsidR="00B11848">
        <w:rPr>
          <w:rFonts w:ascii="Arial" w:hAnsi="Arial" w:cs="Arial"/>
        </w:rPr>
        <w:t>sidad de Buenos Aires. Docente de Derecho II d</w:t>
      </w:r>
      <w:r w:rsidRPr="00E248E6">
        <w:rPr>
          <w:rFonts w:ascii="Arial" w:hAnsi="Arial" w:cs="Arial"/>
        </w:rPr>
        <w:t xml:space="preserve">e la Universidad Nacional de San Martín. Docente de </w:t>
      </w:r>
      <w:r w:rsidR="004F5084">
        <w:rPr>
          <w:rFonts w:ascii="Arial" w:hAnsi="Arial" w:cs="Arial"/>
        </w:rPr>
        <w:t>Mujeres, Género y Diversidad en el ámbito de los Derechos Humanos (</w:t>
      </w:r>
      <w:r w:rsidRPr="00E248E6">
        <w:rPr>
          <w:rFonts w:ascii="Arial" w:hAnsi="Arial" w:cs="Arial"/>
        </w:rPr>
        <w:t xml:space="preserve">Escuela del Cuerpo de </w:t>
      </w:r>
      <w:proofErr w:type="spellStart"/>
      <w:r w:rsidRPr="00E248E6">
        <w:rPr>
          <w:rFonts w:ascii="Arial" w:hAnsi="Arial" w:cs="Arial"/>
        </w:rPr>
        <w:t>Abogadxs</w:t>
      </w:r>
      <w:proofErr w:type="spellEnd"/>
      <w:r w:rsidRPr="00E248E6">
        <w:rPr>
          <w:rFonts w:ascii="Arial" w:hAnsi="Arial" w:cs="Arial"/>
        </w:rPr>
        <w:t xml:space="preserve"> del Estado</w:t>
      </w:r>
      <w:r w:rsidR="004F5084">
        <w:rPr>
          <w:rFonts w:ascii="Arial" w:hAnsi="Arial" w:cs="Arial"/>
        </w:rPr>
        <w:t>)</w:t>
      </w:r>
      <w:r w:rsidRPr="00E248E6">
        <w:rPr>
          <w:rFonts w:ascii="Arial" w:hAnsi="Arial" w:cs="Arial"/>
        </w:rPr>
        <w:t>.</w:t>
      </w:r>
      <w:r w:rsidR="00074411">
        <w:rPr>
          <w:rFonts w:ascii="Arial" w:hAnsi="Arial" w:cs="Arial"/>
        </w:rPr>
        <w:t xml:space="preserve"> </w:t>
      </w:r>
      <w:r w:rsidR="00BA6BF2">
        <w:rPr>
          <w:rFonts w:ascii="Arial" w:hAnsi="Arial" w:cs="Arial"/>
        </w:rPr>
        <w:t xml:space="preserve">Mail: </w:t>
      </w:r>
      <w:r w:rsidR="00A57EE1">
        <w:rPr>
          <w:rFonts w:ascii="Arial" w:hAnsi="Arial" w:cs="Arial"/>
        </w:rPr>
        <w:t>lmiellimo@hotmail.com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5A"/>
    <w:rsid w:val="00036923"/>
    <w:rsid w:val="00055E3D"/>
    <w:rsid w:val="00055E45"/>
    <w:rsid w:val="00074411"/>
    <w:rsid w:val="00083475"/>
    <w:rsid w:val="000852C6"/>
    <w:rsid w:val="00087146"/>
    <w:rsid w:val="00096A38"/>
    <w:rsid w:val="000A72E7"/>
    <w:rsid w:val="000B3055"/>
    <w:rsid w:val="000C4287"/>
    <w:rsid w:val="00163AD8"/>
    <w:rsid w:val="001868FD"/>
    <w:rsid w:val="001D379D"/>
    <w:rsid w:val="00206206"/>
    <w:rsid w:val="0024073F"/>
    <w:rsid w:val="00240E4C"/>
    <w:rsid w:val="002662CE"/>
    <w:rsid w:val="002812BB"/>
    <w:rsid w:val="0029339E"/>
    <w:rsid w:val="002B47B8"/>
    <w:rsid w:val="002F5DA0"/>
    <w:rsid w:val="00333D62"/>
    <w:rsid w:val="0034209D"/>
    <w:rsid w:val="003447EC"/>
    <w:rsid w:val="00354312"/>
    <w:rsid w:val="00366917"/>
    <w:rsid w:val="00383859"/>
    <w:rsid w:val="00390779"/>
    <w:rsid w:val="00395BBD"/>
    <w:rsid w:val="003D1FF0"/>
    <w:rsid w:val="00400A7C"/>
    <w:rsid w:val="0040754E"/>
    <w:rsid w:val="00410B78"/>
    <w:rsid w:val="004169A8"/>
    <w:rsid w:val="004375CA"/>
    <w:rsid w:val="00451E6E"/>
    <w:rsid w:val="004D09DB"/>
    <w:rsid w:val="004D1C74"/>
    <w:rsid w:val="004F5084"/>
    <w:rsid w:val="00505ADC"/>
    <w:rsid w:val="00522954"/>
    <w:rsid w:val="00533B71"/>
    <w:rsid w:val="00555C21"/>
    <w:rsid w:val="00592E5C"/>
    <w:rsid w:val="0060283A"/>
    <w:rsid w:val="00606353"/>
    <w:rsid w:val="00613099"/>
    <w:rsid w:val="00625DB6"/>
    <w:rsid w:val="00633490"/>
    <w:rsid w:val="006843D5"/>
    <w:rsid w:val="006A4C25"/>
    <w:rsid w:val="007051B7"/>
    <w:rsid w:val="00740610"/>
    <w:rsid w:val="007679B5"/>
    <w:rsid w:val="00822A55"/>
    <w:rsid w:val="0083065A"/>
    <w:rsid w:val="008665A9"/>
    <w:rsid w:val="008936F3"/>
    <w:rsid w:val="008D11F2"/>
    <w:rsid w:val="008E5540"/>
    <w:rsid w:val="009535F5"/>
    <w:rsid w:val="00992C98"/>
    <w:rsid w:val="009E5BFA"/>
    <w:rsid w:val="00A16CBE"/>
    <w:rsid w:val="00A57EE1"/>
    <w:rsid w:val="00A63A18"/>
    <w:rsid w:val="00A84078"/>
    <w:rsid w:val="00AA183C"/>
    <w:rsid w:val="00AB7C68"/>
    <w:rsid w:val="00AD592B"/>
    <w:rsid w:val="00AE602D"/>
    <w:rsid w:val="00AF154E"/>
    <w:rsid w:val="00B11848"/>
    <w:rsid w:val="00B1253E"/>
    <w:rsid w:val="00B23AB5"/>
    <w:rsid w:val="00B565EC"/>
    <w:rsid w:val="00BA2785"/>
    <w:rsid w:val="00BA6BF2"/>
    <w:rsid w:val="00BC1D50"/>
    <w:rsid w:val="00BE2C41"/>
    <w:rsid w:val="00BE46E9"/>
    <w:rsid w:val="00BE64B8"/>
    <w:rsid w:val="00C51C57"/>
    <w:rsid w:val="00C611F7"/>
    <w:rsid w:val="00C83AE0"/>
    <w:rsid w:val="00CD7C85"/>
    <w:rsid w:val="00D01ED1"/>
    <w:rsid w:val="00D04633"/>
    <w:rsid w:val="00D07AE1"/>
    <w:rsid w:val="00D514B1"/>
    <w:rsid w:val="00DA0793"/>
    <w:rsid w:val="00DB270D"/>
    <w:rsid w:val="00DB49EB"/>
    <w:rsid w:val="00DE59C0"/>
    <w:rsid w:val="00DE75B5"/>
    <w:rsid w:val="00DF0000"/>
    <w:rsid w:val="00DF3BFD"/>
    <w:rsid w:val="00DF6167"/>
    <w:rsid w:val="00E02C97"/>
    <w:rsid w:val="00E248E6"/>
    <w:rsid w:val="00E41180"/>
    <w:rsid w:val="00E5294A"/>
    <w:rsid w:val="00E575EC"/>
    <w:rsid w:val="00E65CB2"/>
    <w:rsid w:val="00EC2E2A"/>
    <w:rsid w:val="00EC5799"/>
    <w:rsid w:val="00ED1162"/>
    <w:rsid w:val="00ED6528"/>
    <w:rsid w:val="00EE47EF"/>
    <w:rsid w:val="00F165D2"/>
    <w:rsid w:val="00F35D3D"/>
    <w:rsid w:val="00F6429C"/>
    <w:rsid w:val="00F83916"/>
    <w:rsid w:val="00F9125E"/>
    <w:rsid w:val="00F93A77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1E7"/>
  <w15:chartTrackingRefBased/>
  <w15:docId w15:val="{3EB14B3D-340B-4EEE-A4DE-755D574F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54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48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48E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48E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56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alyc.org/articulo.oa?id=183301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E219-7243-491B-BC2E-368E407D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BUFACCHI</dc:creator>
  <cp:keywords/>
  <dc:description/>
  <cp:lastModifiedBy>Cuenta Microsoft</cp:lastModifiedBy>
  <cp:revision>3</cp:revision>
  <cp:lastPrinted>2021-10-25T02:50:00Z</cp:lastPrinted>
  <dcterms:created xsi:type="dcterms:W3CDTF">2021-10-26T12:14:00Z</dcterms:created>
  <dcterms:modified xsi:type="dcterms:W3CDTF">2021-11-07T04:09:00Z</dcterms:modified>
</cp:coreProperties>
</file>