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F3" w:rsidRPr="004F73F3" w:rsidRDefault="000E597D" w:rsidP="00A571DC">
      <w:pPr>
        <w:spacing w:before="100" w:beforeAutospacing="1" w:after="100" w:afterAutospacing="1" w:line="240" w:lineRule="auto"/>
        <w:jc w:val="center"/>
        <w:rPr>
          <w:rFonts w:ascii="Arial" w:eastAsia="Times New Roman" w:hAnsi="Arial" w:cs="Arial"/>
          <w:b/>
          <w:bCs/>
          <w:caps/>
          <w:sz w:val="24"/>
          <w:szCs w:val="24"/>
          <w:lang w:eastAsia="es-AR"/>
        </w:rPr>
      </w:pPr>
      <w:r>
        <w:rPr>
          <w:rFonts w:ascii="Arial" w:eastAsia="Times New Roman" w:hAnsi="Arial" w:cs="Arial"/>
          <w:b/>
          <w:bCs/>
          <w:caps/>
          <w:sz w:val="24"/>
          <w:szCs w:val="24"/>
          <w:lang w:eastAsia="es-AR"/>
        </w:rPr>
        <w:t>prÁctica sobre T</w:t>
      </w:r>
      <w:r w:rsidR="006E5428">
        <w:rPr>
          <w:rFonts w:ascii="Arial" w:eastAsia="Times New Roman" w:hAnsi="Arial" w:cs="Arial"/>
          <w:b/>
          <w:bCs/>
          <w:caps/>
          <w:sz w:val="24"/>
          <w:szCs w:val="24"/>
          <w:lang w:eastAsia="es-AR"/>
        </w:rPr>
        <w:t>RIBUTACIÓ</w:t>
      </w:r>
      <w:r>
        <w:rPr>
          <w:rFonts w:ascii="Arial" w:eastAsia="Times New Roman" w:hAnsi="Arial" w:cs="Arial"/>
          <w:b/>
          <w:bCs/>
          <w:caps/>
          <w:sz w:val="24"/>
          <w:szCs w:val="24"/>
          <w:lang w:eastAsia="es-AR"/>
        </w:rPr>
        <w:t>N CON PERSPECTIVA DE GÉNERO y diversidad</w:t>
      </w:r>
      <w:r w:rsidR="0089168B">
        <w:rPr>
          <w:rFonts w:ascii="Arial" w:eastAsia="Times New Roman" w:hAnsi="Arial" w:cs="Arial"/>
          <w:b/>
          <w:bCs/>
          <w:caps/>
          <w:sz w:val="24"/>
          <w:szCs w:val="24"/>
          <w:lang w:eastAsia="es-AR"/>
        </w:rPr>
        <w:t xml:space="preserve"> en finanzas </w:t>
      </w:r>
      <w:r w:rsidR="00FF193A">
        <w:rPr>
          <w:rFonts w:ascii="Arial" w:eastAsia="Times New Roman" w:hAnsi="Arial" w:cs="Arial"/>
          <w:b/>
          <w:bCs/>
          <w:caps/>
          <w:sz w:val="24"/>
          <w:szCs w:val="24"/>
          <w:lang w:eastAsia="es-AR"/>
        </w:rPr>
        <w:t xml:space="preserve">PUBLICAS </w:t>
      </w:r>
      <w:r w:rsidR="0089168B">
        <w:rPr>
          <w:rFonts w:ascii="Arial" w:eastAsia="Times New Roman" w:hAnsi="Arial" w:cs="Arial"/>
          <w:b/>
          <w:bCs/>
          <w:caps/>
          <w:sz w:val="24"/>
          <w:szCs w:val="24"/>
          <w:lang w:eastAsia="es-AR"/>
        </w:rPr>
        <w:t>y derecho financiero</w:t>
      </w:r>
    </w:p>
    <w:p w:rsidR="00BF3907" w:rsidRPr="00A742E4" w:rsidRDefault="00A742E4" w:rsidP="005E663D">
      <w:pPr>
        <w:spacing w:before="100" w:beforeAutospacing="1" w:after="100" w:afterAutospacing="1" w:line="240" w:lineRule="auto"/>
        <w:ind w:left="6372"/>
        <w:jc w:val="both"/>
        <w:rPr>
          <w:rFonts w:ascii="Arial" w:eastAsia="Times New Roman" w:hAnsi="Arial" w:cs="Arial"/>
          <w:b/>
          <w:bCs/>
          <w:sz w:val="24"/>
          <w:szCs w:val="24"/>
          <w:lang w:eastAsia="es-AR"/>
        </w:rPr>
      </w:pPr>
      <w:r w:rsidRPr="00A742E4">
        <w:rPr>
          <w:rFonts w:ascii="Arial" w:eastAsia="Times New Roman" w:hAnsi="Arial" w:cs="Arial"/>
          <w:b/>
          <w:bCs/>
          <w:sz w:val="24"/>
          <w:szCs w:val="24"/>
          <w:lang w:eastAsia="es-AR"/>
        </w:rPr>
        <w:t xml:space="preserve">Autor: </w:t>
      </w:r>
      <w:r w:rsidR="00A571DC" w:rsidRPr="00A742E4">
        <w:rPr>
          <w:rFonts w:ascii="Arial" w:eastAsia="Times New Roman" w:hAnsi="Arial" w:cs="Arial"/>
          <w:b/>
          <w:bCs/>
          <w:sz w:val="24"/>
          <w:szCs w:val="24"/>
          <w:lang w:eastAsia="es-AR"/>
        </w:rPr>
        <w:t>Mónica</w:t>
      </w:r>
      <w:r w:rsidR="00BF3907" w:rsidRPr="00A742E4">
        <w:rPr>
          <w:rFonts w:ascii="Arial" w:eastAsia="Times New Roman" w:hAnsi="Arial" w:cs="Arial"/>
          <w:b/>
          <w:bCs/>
          <w:sz w:val="24"/>
          <w:szCs w:val="24"/>
          <w:lang w:eastAsia="es-AR"/>
        </w:rPr>
        <w:t xml:space="preserve"> M. </w:t>
      </w:r>
      <w:proofErr w:type="spellStart"/>
      <w:r w:rsidR="00BF3907" w:rsidRPr="00A742E4">
        <w:rPr>
          <w:rFonts w:ascii="Arial" w:eastAsia="Times New Roman" w:hAnsi="Arial" w:cs="Arial"/>
          <w:b/>
          <w:bCs/>
          <w:sz w:val="24"/>
          <w:szCs w:val="24"/>
          <w:lang w:eastAsia="es-AR"/>
        </w:rPr>
        <w:t>Bariggi</w:t>
      </w:r>
      <w:proofErr w:type="spellEnd"/>
    </w:p>
    <w:p w:rsidR="00FD3634" w:rsidRPr="00FF193A" w:rsidRDefault="00E7326A" w:rsidP="00FF193A">
      <w:pPr>
        <w:spacing w:after="0" w:line="360" w:lineRule="auto"/>
        <w:jc w:val="both"/>
        <w:rPr>
          <w:rFonts w:ascii="Arial" w:eastAsia="Times New Roman" w:hAnsi="Arial" w:cs="Arial"/>
          <w:bCs/>
          <w:sz w:val="24"/>
          <w:szCs w:val="24"/>
          <w:lang w:eastAsia="es-AR"/>
        </w:rPr>
      </w:pPr>
      <w:r w:rsidRPr="005E663D">
        <w:rPr>
          <w:rFonts w:ascii="Arial" w:eastAsia="Times New Roman" w:hAnsi="Arial" w:cs="Arial"/>
          <w:b/>
          <w:bCs/>
          <w:sz w:val="24"/>
          <w:szCs w:val="24"/>
          <w:lang w:eastAsia="es-AR"/>
        </w:rPr>
        <w:t>Resumen</w:t>
      </w:r>
      <w:r w:rsidR="00BF3907" w:rsidRPr="005E663D">
        <w:rPr>
          <w:rFonts w:ascii="Arial" w:eastAsia="Times New Roman" w:hAnsi="Arial" w:cs="Arial"/>
          <w:b/>
          <w:bCs/>
          <w:sz w:val="24"/>
          <w:szCs w:val="24"/>
          <w:lang w:eastAsia="es-AR"/>
        </w:rPr>
        <w:t xml:space="preserve">: </w:t>
      </w:r>
      <w:r w:rsidR="00FF193A">
        <w:rPr>
          <w:rFonts w:ascii="Arial" w:eastAsia="Times New Roman" w:hAnsi="Arial" w:cs="Arial"/>
          <w:bCs/>
          <w:sz w:val="24"/>
          <w:szCs w:val="24"/>
          <w:lang w:eastAsia="es-AR"/>
        </w:rPr>
        <w:t>Todos saben de qué se trata el enfoque de “perspectiva de género y diversidad” pero a la hora de identificarla y aplicarla en las Finanzas Públicas, esta afirmación cae. En este breve ensayo se presentan dos intentos de aplicación en el aula que nos llevan a replantear algunas afirmaciones.</w:t>
      </w:r>
    </w:p>
    <w:p w:rsidR="000E597D" w:rsidRPr="009E0EE6" w:rsidRDefault="000E597D" w:rsidP="009E0EE6">
      <w:pPr>
        <w:spacing w:after="0" w:line="360" w:lineRule="auto"/>
        <w:jc w:val="both"/>
        <w:rPr>
          <w:rFonts w:ascii="Arial" w:hAnsi="Arial" w:cs="Arial"/>
          <w:sz w:val="24"/>
          <w:szCs w:val="24"/>
        </w:rPr>
      </w:pPr>
      <w:r>
        <w:rPr>
          <w:rFonts w:ascii="Arial" w:eastAsia="Times New Roman" w:hAnsi="Arial" w:cs="Arial"/>
          <w:b/>
          <w:bCs/>
          <w:sz w:val="24"/>
          <w:szCs w:val="24"/>
          <w:lang w:eastAsia="es-AR"/>
        </w:rPr>
        <w:t>Introducción:</w:t>
      </w:r>
      <w:r>
        <w:rPr>
          <w:rFonts w:ascii="Arial" w:eastAsia="Times New Roman" w:hAnsi="Arial" w:cs="Arial"/>
          <w:bCs/>
          <w:sz w:val="24"/>
          <w:szCs w:val="24"/>
          <w:lang w:eastAsia="es-AR"/>
        </w:rPr>
        <w:t xml:space="preserve"> </w:t>
      </w:r>
    </w:p>
    <w:p w:rsidR="000E597D" w:rsidRDefault="000E597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En el año 2020 y 2021, se realizaron dos experiencias en la materia de Finanzas </w:t>
      </w:r>
      <w:r w:rsidR="00FF193A">
        <w:rPr>
          <w:rFonts w:ascii="Arial" w:eastAsia="Times New Roman" w:hAnsi="Arial" w:cs="Arial"/>
          <w:bCs/>
          <w:sz w:val="24"/>
          <w:szCs w:val="24"/>
          <w:lang w:eastAsia="es-AR"/>
        </w:rPr>
        <w:t>Públicas</w:t>
      </w:r>
      <w:r>
        <w:rPr>
          <w:rFonts w:ascii="Arial" w:eastAsia="Times New Roman" w:hAnsi="Arial" w:cs="Arial"/>
          <w:bCs/>
          <w:sz w:val="24"/>
          <w:szCs w:val="24"/>
          <w:lang w:eastAsia="es-AR"/>
        </w:rPr>
        <w:t xml:space="preserve"> y Derecho Financi</w:t>
      </w:r>
      <w:r w:rsidR="008071F7">
        <w:rPr>
          <w:rFonts w:ascii="Arial" w:eastAsia="Times New Roman" w:hAnsi="Arial" w:cs="Arial"/>
          <w:bCs/>
          <w:sz w:val="24"/>
          <w:szCs w:val="24"/>
          <w:lang w:eastAsia="es-AR"/>
        </w:rPr>
        <w:t>ero de la U</w:t>
      </w:r>
      <w:r w:rsidR="00FF193A">
        <w:rPr>
          <w:rFonts w:ascii="Arial" w:eastAsia="Times New Roman" w:hAnsi="Arial" w:cs="Arial"/>
          <w:bCs/>
          <w:sz w:val="24"/>
          <w:szCs w:val="24"/>
          <w:lang w:eastAsia="es-AR"/>
        </w:rPr>
        <w:t>.</w:t>
      </w:r>
      <w:r w:rsidR="008071F7">
        <w:rPr>
          <w:rFonts w:ascii="Arial" w:eastAsia="Times New Roman" w:hAnsi="Arial" w:cs="Arial"/>
          <w:bCs/>
          <w:sz w:val="24"/>
          <w:szCs w:val="24"/>
          <w:lang w:eastAsia="es-AR"/>
        </w:rPr>
        <w:t>N</w:t>
      </w:r>
      <w:r w:rsidR="00FF193A">
        <w:rPr>
          <w:rFonts w:ascii="Arial" w:eastAsia="Times New Roman" w:hAnsi="Arial" w:cs="Arial"/>
          <w:bCs/>
          <w:sz w:val="24"/>
          <w:szCs w:val="24"/>
          <w:lang w:eastAsia="es-AR"/>
        </w:rPr>
        <w:t>.</w:t>
      </w:r>
      <w:r w:rsidR="008071F7">
        <w:rPr>
          <w:rFonts w:ascii="Arial" w:eastAsia="Times New Roman" w:hAnsi="Arial" w:cs="Arial"/>
          <w:bCs/>
          <w:sz w:val="24"/>
          <w:szCs w:val="24"/>
          <w:lang w:eastAsia="es-AR"/>
        </w:rPr>
        <w:t>L</w:t>
      </w:r>
      <w:r w:rsidR="00FF193A">
        <w:rPr>
          <w:rFonts w:ascii="Arial" w:eastAsia="Times New Roman" w:hAnsi="Arial" w:cs="Arial"/>
          <w:bCs/>
          <w:sz w:val="24"/>
          <w:szCs w:val="24"/>
          <w:lang w:eastAsia="es-AR"/>
        </w:rPr>
        <w:t>.</w:t>
      </w:r>
      <w:r w:rsidR="008071F7">
        <w:rPr>
          <w:rFonts w:ascii="Arial" w:eastAsia="Times New Roman" w:hAnsi="Arial" w:cs="Arial"/>
          <w:bCs/>
          <w:sz w:val="24"/>
          <w:szCs w:val="24"/>
          <w:lang w:eastAsia="es-AR"/>
        </w:rPr>
        <w:t>P</w:t>
      </w:r>
      <w:r w:rsidR="00FF193A">
        <w:rPr>
          <w:rFonts w:ascii="Arial" w:eastAsia="Times New Roman" w:hAnsi="Arial" w:cs="Arial"/>
          <w:bCs/>
          <w:sz w:val="24"/>
          <w:szCs w:val="24"/>
          <w:lang w:eastAsia="es-AR"/>
        </w:rPr>
        <w:t>.</w:t>
      </w:r>
      <w:r w:rsidR="008071F7">
        <w:rPr>
          <w:rFonts w:ascii="Arial" w:eastAsia="Times New Roman" w:hAnsi="Arial" w:cs="Arial"/>
          <w:bCs/>
          <w:sz w:val="24"/>
          <w:szCs w:val="24"/>
          <w:lang w:eastAsia="es-AR"/>
        </w:rPr>
        <w:t>, vinculadas a</w:t>
      </w:r>
      <w:r>
        <w:rPr>
          <w:rFonts w:ascii="Arial" w:eastAsia="Times New Roman" w:hAnsi="Arial" w:cs="Arial"/>
          <w:bCs/>
          <w:sz w:val="24"/>
          <w:szCs w:val="24"/>
          <w:lang w:eastAsia="es-AR"/>
        </w:rPr>
        <w:t>l análisis de la tributación con perspectiva de género y diversidad.</w:t>
      </w:r>
    </w:p>
    <w:p w:rsidR="000E597D" w:rsidRDefault="000E597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La idea en principio era muy simple: partiendo del preconcepto que la cuestión de </w:t>
      </w:r>
      <w:r w:rsidR="006A063C">
        <w:rPr>
          <w:rFonts w:ascii="Arial" w:eastAsia="Times New Roman" w:hAnsi="Arial" w:cs="Arial"/>
          <w:bCs/>
          <w:sz w:val="24"/>
          <w:szCs w:val="24"/>
          <w:lang w:eastAsia="es-AR"/>
        </w:rPr>
        <w:t>género</w:t>
      </w:r>
      <w:r>
        <w:rPr>
          <w:rFonts w:ascii="Arial" w:eastAsia="Times New Roman" w:hAnsi="Arial" w:cs="Arial"/>
          <w:bCs/>
          <w:sz w:val="24"/>
          <w:szCs w:val="24"/>
          <w:lang w:eastAsia="es-AR"/>
        </w:rPr>
        <w:t xml:space="preserve"> y diversidad es un área</w:t>
      </w:r>
      <w:r w:rsidR="0089168B">
        <w:rPr>
          <w:rFonts w:ascii="Arial" w:eastAsia="Times New Roman" w:hAnsi="Arial" w:cs="Arial"/>
          <w:bCs/>
          <w:sz w:val="24"/>
          <w:szCs w:val="24"/>
          <w:lang w:eastAsia="es-AR"/>
        </w:rPr>
        <w:t xml:space="preserve"> de investigación</w:t>
      </w:r>
      <w:r>
        <w:rPr>
          <w:rFonts w:ascii="Arial" w:eastAsia="Times New Roman" w:hAnsi="Arial" w:cs="Arial"/>
          <w:bCs/>
          <w:sz w:val="24"/>
          <w:szCs w:val="24"/>
          <w:lang w:eastAsia="es-AR"/>
        </w:rPr>
        <w:t xml:space="preserve"> </w:t>
      </w:r>
      <w:r w:rsidR="00D32180">
        <w:rPr>
          <w:rFonts w:ascii="Arial" w:eastAsia="Times New Roman" w:hAnsi="Arial" w:cs="Arial"/>
          <w:bCs/>
          <w:sz w:val="24"/>
          <w:szCs w:val="24"/>
          <w:lang w:eastAsia="es-AR"/>
        </w:rPr>
        <w:t xml:space="preserve">en </w:t>
      </w:r>
      <w:r w:rsidR="00FF193A">
        <w:rPr>
          <w:rFonts w:ascii="Arial" w:eastAsia="Times New Roman" w:hAnsi="Arial" w:cs="Arial"/>
          <w:bCs/>
          <w:sz w:val="24"/>
          <w:szCs w:val="24"/>
          <w:lang w:eastAsia="es-AR"/>
        </w:rPr>
        <w:t>auge</w:t>
      </w:r>
      <w:r w:rsidR="0089168B">
        <w:rPr>
          <w:rFonts w:ascii="Arial" w:eastAsia="Times New Roman" w:hAnsi="Arial" w:cs="Arial"/>
          <w:bCs/>
          <w:sz w:val="24"/>
          <w:szCs w:val="24"/>
          <w:lang w:eastAsia="es-AR"/>
        </w:rPr>
        <w:t xml:space="preserve"> abordado </w:t>
      </w:r>
      <w:r>
        <w:rPr>
          <w:rFonts w:ascii="Arial" w:eastAsia="Times New Roman" w:hAnsi="Arial" w:cs="Arial"/>
          <w:bCs/>
          <w:sz w:val="24"/>
          <w:szCs w:val="24"/>
          <w:lang w:eastAsia="es-AR"/>
        </w:rPr>
        <w:t xml:space="preserve">en los últimos años por copiosa doctrina en el área tanto de las Finanzas </w:t>
      </w:r>
      <w:r w:rsidR="006A063C">
        <w:rPr>
          <w:rFonts w:ascii="Arial" w:eastAsia="Times New Roman" w:hAnsi="Arial" w:cs="Arial"/>
          <w:bCs/>
          <w:sz w:val="24"/>
          <w:szCs w:val="24"/>
          <w:lang w:eastAsia="es-AR"/>
        </w:rPr>
        <w:t>Públicas</w:t>
      </w:r>
      <w:r>
        <w:rPr>
          <w:rFonts w:ascii="Arial" w:eastAsia="Times New Roman" w:hAnsi="Arial" w:cs="Arial"/>
          <w:bCs/>
          <w:sz w:val="24"/>
          <w:szCs w:val="24"/>
          <w:lang w:eastAsia="es-AR"/>
        </w:rPr>
        <w:t xml:space="preserve"> como en las otras ramas del Derecho;</w:t>
      </w:r>
      <w:bookmarkStart w:id="0" w:name="_GoBack"/>
      <w:bookmarkEnd w:id="0"/>
      <w:r>
        <w:rPr>
          <w:rFonts w:ascii="Arial" w:eastAsia="Times New Roman" w:hAnsi="Arial" w:cs="Arial"/>
          <w:bCs/>
          <w:sz w:val="24"/>
          <w:szCs w:val="24"/>
          <w:lang w:eastAsia="es-AR"/>
        </w:rPr>
        <w:t xml:space="preserve"> </w:t>
      </w:r>
      <w:r w:rsidR="0089168B">
        <w:rPr>
          <w:rFonts w:ascii="Arial" w:eastAsia="Times New Roman" w:hAnsi="Arial" w:cs="Arial"/>
          <w:bCs/>
          <w:sz w:val="24"/>
          <w:szCs w:val="24"/>
          <w:lang w:eastAsia="es-AR"/>
        </w:rPr>
        <w:t>Y entendiendo que los alumnos</w:t>
      </w:r>
      <w:r w:rsidR="008071F7">
        <w:rPr>
          <w:rFonts w:ascii="Arial" w:eastAsia="Times New Roman" w:hAnsi="Arial" w:cs="Arial"/>
          <w:bCs/>
          <w:sz w:val="24"/>
          <w:szCs w:val="24"/>
          <w:lang w:eastAsia="es-AR"/>
        </w:rPr>
        <w:t>/as</w:t>
      </w:r>
      <w:r w:rsidR="0089168B">
        <w:rPr>
          <w:rFonts w:ascii="Arial" w:eastAsia="Times New Roman" w:hAnsi="Arial" w:cs="Arial"/>
          <w:bCs/>
          <w:sz w:val="24"/>
          <w:szCs w:val="24"/>
          <w:lang w:eastAsia="es-AR"/>
        </w:rPr>
        <w:t xml:space="preserve"> tenían acceso previo a esa temática, que les era conocida con antelación ya sea por los medios de comunicación, ya sea por el abordaje del tema en otras instancias de educación previa; se</w:t>
      </w:r>
      <w:r>
        <w:rPr>
          <w:rFonts w:ascii="Arial" w:eastAsia="Times New Roman" w:hAnsi="Arial" w:cs="Arial"/>
          <w:bCs/>
          <w:sz w:val="24"/>
          <w:szCs w:val="24"/>
          <w:lang w:eastAsia="es-AR"/>
        </w:rPr>
        <w:t xml:space="preserve"> propuso utilizar el tema </w:t>
      </w:r>
      <w:r w:rsidR="0089168B">
        <w:rPr>
          <w:rFonts w:ascii="Arial" w:eastAsia="Times New Roman" w:hAnsi="Arial" w:cs="Arial"/>
          <w:bCs/>
          <w:sz w:val="24"/>
          <w:szCs w:val="24"/>
          <w:lang w:eastAsia="es-AR"/>
        </w:rPr>
        <w:t xml:space="preserve">“tributación de </w:t>
      </w:r>
      <w:r w:rsidR="00A11FEF">
        <w:rPr>
          <w:rFonts w:ascii="Arial" w:eastAsia="Times New Roman" w:hAnsi="Arial" w:cs="Arial"/>
          <w:bCs/>
          <w:sz w:val="24"/>
          <w:szCs w:val="24"/>
          <w:lang w:eastAsia="es-AR"/>
        </w:rPr>
        <w:t>género</w:t>
      </w:r>
      <w:r w:rsidR="0089168B">
        <w:rPr>
          <w:rFonts w:ascii="Arial" w:eastAsia="Times New Roman" w:hAnsi="Arial" w:cs="Arial"/>
          <w:bCs/>
          <w:sz w:val="24"/>
          <w:szCs w:val="24"/>
          <w:lang w:eastAsia="es-AR"/>
        </w:rPr>
        <w:t xml:space="preserve"> y diversidad” como una</w:t>
      </w:r>
      <w:r>
        <w:rPr>
          <w:rFonts w:ascii="Arial" w:eastAsia="Times New Roman" w:hAnsi="Arial" w:cs="Arial"/>
          <w:bCs/>
          <w:sz w:val="24"/>
          <w:szCs w:val="24"/>
          <w:lang w:eastAsia="es-AR"/>
        </w:rPr>
        <w:t xml:space="preserve"> herramienta</w:t>
      </w:r>
      <w:r w:rsidR="0089168B">
        <w:rPr>
          <w:rFonts w:ascii="Arial" w:eastAsia="Times New Roman" w:hAnsi="Arial" w:cs="Arial"/>
          <w:bCs/>
          <w:sz w:val="24"/>
          <w:szCs w:val="24"/>
          <w:lang w:eastAsia="es-AR"/>
        </w:rPr>
        <w:t xml:space="preserve"> de la coyuntura actual,</w:t>
      </w:r>
      <w:r>
        <w:rPr>
          <w:rFonts w:ascii="Arial" w:eastAsia="Times New Roman" w:hAnsi="Arial" w:cs="Arial"/>
          <w:bCs/>
          <w:sz w:val="24"/>
          <w:szCs w:val="24"/>
          <w:lang w:eastAsia="es-AR"/>
        </w:rPr>
        <w:t xml:space="preserve"> a fin de desarrollar temática</w:t>
      </w:r>
      <w:r w:rsidR="00A11FEF">
        <w:rPr>
          <w:rFonts w:ascii="Arial" w:eastAsia="Times New Roman" w:hAnsi="Arial" w:cs="Arial"/>
          <w:bCs/>
          <w:sz w:val="24"/>
          <w:szCs w:val="24"/>
          <w:lang w:eastAsia="es-AR"/>
        </w:rPr>
        <w:t xml:space="preserve">s propias </w:t>
      </w:r>
      <w:r w:rsidR="008071F7">
        <w:rPr>
          <w:rFonts w:ascii="Arial" w:eastAsia="Times New Roman" w:hAnsi="Arial" w:cs="Arial"/>
          <w:bCs/>
          <w:sz w:val="24"/>
          <w:szCs w:val="24"/>
          <w:lang w:eastAsia="es-AR"/>
        </w:rPr>
        <w:t xml:space="preserve">y complejas </w:t>
      </w:r>
      <w:r w:rsidR="00A11FEF">
        <w:rPr>
          <w:rFonts w:ascii="Arial" w:eastAsia="Times New Roman" w:hAnsi="Arial" w:cs="Arial"/>
          <w:bCs/>
          <w:sz w:val="24"/>
          <w:szCs w:val="24"/>
          <w:lang w:eastAsia="es-AR"/>
        </w:rPr>
        <w:t>de</w:t>
      </w:r>
      <w:r>
        <w:rPr>
          <w:rFonts w:ascii="Arial" w:eastAsia="Times New Roman" w:hAnsi="Arial" w:cs="Arial"/>
          <w:bCs/>
          <w:sz w:val="24"/>
          <w:szCs w:val="24"/>
          <w:lang w:eastAsia="es-AR"/>
        </w:rPr>
        <w:t xml:space="preserve"> la materia impartida como: Hecho </w:t>
      </w:r>
      <w:r w:rsidR="006A063C">
        <w:rPr>
          <w:rFonts w:ascii="Arial" w:eastAsia="Times New Roman" w:hAnsi="Arial" w:cs="Arial"/>
          <w:bCs/>
          <w:sz w:val="24"/>
          <w:szCs w:val="24"/>
          <w:lang w:eastAsia="es-AR"/>
        </w:rPr>
        <w:t>imponible</w:t>
      </w:r>
      <w:r>
        <w:rPr>
          <w:rFonts w:ascii="Arial" w:eastAsia="Times New Roman" w:hAnsi="Arial" w:cs="Arial"/>
          <w:bCs/>
          <w:sz w:val="24"/>
          <w:szCs w:val="24"/>
          <w:lang w:eastAsia="es-AR"/>
        </w:rPr>
        <w:t xml:space="preserve">, Base Imponible, </w:t>
      </w:r>
      <w:r w:rsidR="006A063C">
        <w:rPr>
          <w:rFonts w:ascii="Arial" w:eastAsia="Times New Roman" w:hAnsi="Arial" w:cs="Arial"/>
          <w:bCs/>
          <w:sz w:val="24"/>
          <w:szCs w:val="24"/>
          <w:lang w:eastAsia="es-AR"/>
        </w:rPr>
        <w:t>Alícuota</w:t>
      </w:r>
      <w:r>
        <w:rPr>
          <w:rFonts w:ascii="Arial" w:eastAsia="Times New Roman" w:hAnsi="Arial" w:cs="Arial"/>
          <w:bCs/>
          <w:sz w:val="24"/>
          <w:szCs w:val="24"/>
          <w:lang w:eastAsia="es-AR"/>
        </w:rPr>
        <w:t xml:space="preserve">, Exenciones, principio de legalidad, </w:t>
      </w:r>
      <w:r w:rsidR="006A063C">
        <w:rPr>
          <w:rFonts w:ascii="Arial" w:eastAsia="Times New Roman" w:hAnsi="Arial" w:cs="Arial"/>
          <w:bCs/>
          <w:sz w:val="24"/>
          <w:szCs w:val="24"/>
          <w:lang w:eastAsia="es-AR"/>
        </w:rPr>
        <w:t>relación</w:t>
      </w:r>
      <w:r>
        <w:rPr>
          <w:rFonts w:ascii="Arial" w:eastAsia="Times New Roman" w:hAnsi="Arial" w:cs="Arial"/>
          <w:bCs/>
          <w:sz w:val="24"/>
          <w:szCs w:val="24"/>
          <w:lang w:eastAsia="es-AR"/>
        </w:rPr>
        <w:t xml:space="preserve"> jurídica tributaria, obligación </w:t>
      </w:r>
      <w:r w:rsidR="006A063C">
        <w:rPr>
          <w:rFonts w:ascii="Arial" w:eastAsia="Times New Roman" w:hAnsi="Arial" w:cs="Arial"/>
          <w:bCs/>
          <w:sz w:val="24"/>
          <w:szCs w:val="24"/>
          <w:lang w:eastAsia="es-AR"/>
        </w:rPr>
        <w:t>jurídica</w:t>
      </w:r>
      <w:r>
        <w:rPr>
          <w:rFonts w:ascii="Arial" w:eastAsia="Times New Roman" w:hAnsi="Arial" w:cs="Arial"/>
          <w:bCs/>
          <w:sz w:val="24"/>
          <w:szCs w:val="24"/>
          <w:lang w:eastAsia="es-AR"/>
        </w:rPr>
        <w:t xml:space="preserve"> tributaria, fines </w:t>
      </w:r>
      <w:r w:rsidR="006A063C">
        <w:rPr>
          <w:rFonts w:ascii="Arial" w:eastAsia="Times New Roman" w:hAnsi="Arial" w:cs="Arial"/>
          <w:bCs/>
          <w:sz w:val="24"/>
          <w:szCs w:val="24"/>
          <w:lang w:eastAsia="es-AR"/>
        </w:rPr>
        <w:t>fiscales</w:t>
      </w:r>
      <w:r>
        <w:rPr>
          <w:rFonts w:ascii="Arial" w:eastAsia="Times New Roman" w:hAnsi="Arial" w:cs="Arial"/>
          <w:bCs/>
          <w:sz w:val="24"/>
          <w:szCs w:val="24"/>
          <w:lang w:eastAsia="es-AR"/>
        </w:rPr>
        <w:t xml:space="preserve"> y </w:t>
      </w:r>
      <w:r w:rsidR="006A063C">
        <w:rPr>
          <w:rFonts w:ascii="Arial" w:eastAsia="Times New Roman" w:hAnsi="Arial" w:cs="Arial"/>
          <w:bCs/>
          <w:sz w:val="24"/>
          <w:szCs w:val="24"/>
          <w:lang w:eastAsia="es-AR"/>
        </w:rPr>
        <w:t>extra fiscales</w:t>
      </w:r>
      <w:r>
        <w:rPr>
          <w:rFonts w:ascii="Arial" w:eastAsia="Times New Roman" w:hAnsi="Arial" w:cs="Arial"/>
          <w:bCs/>
          <w:sz w:val="24"/>
          <w:szCs w:val="24"/>
          <w:lang w:eastAsia="es-AR"/>
        </w:rPr>
        <w:t xml:space="preserve">, teoría de redistribución entre otras tantas temáticas a las que se podía </w:t>
      </w:r>
      <w:r w:rsidR="0013667D">
        <w:rPr>
          <w:rFonts w:ascii="Arial" w:eastAsia="Times New Roman" w:hAnsi="Arial" w:cs="Arial"/>
          <w:bCs/>
          <w:sz w:val="24"/>
          <w:szCs w:val="24"/>
          <w:lang w:eastAsia="es-AR"/>
        </w:rPr>
        <w:t xml:space="preserve"> tener dificultad en aplicación la rama </w:t>
      </w:r>
      <w:r w:rsidR="008071F7">
        <w:rPr>
          <w:rFonts w:ascii="Arial" w:eastAsia="Times New Roman" w:hAnsi="Arial" w:cs="Arial"/>
          <w:bCs/>
          <w:sz w:val="24"/>
          <w:szCs w:val="24"/>
          <w:lang w:eastAsia="es-AR"/>
        </w:rPr>
        <w:t>Financiera/</w:t>
      </w:r>
      <w:r w:rsidR="0013667D">
        <w:rPr>
          <w:rFonts w:ascii="Arial" w:eastAsia="Times New Roman" w:hAnsi="Arial" w:cs="Arial"/>
          <w:bCs/>
          <w:sz w:val="24"/>
          <w:szCs w:val="24"/>
          <w:lang w:eastAsia="es-AR"/>
        </w:rPr>
        <w:t>Tributaria</w:t>
      </w:r>
      <w:r>
        <w:rPr>
          <w:rFonts w:ascii="Arial" w:eastAsia="Times New Roman" w:hAnsi="Arial" w:cs="Arial"/>
          <w:bCs/>
          <w:sz w:val="24"/>
          <w:szCs w:val="24"/>
          <w:lang w:eastAsia="es-AR"/>
        </w:rPr>
        <w:t xml:space="preserve">. </w:t>
      </w:r>
    </w:p>
    <w:p w:rsidR="0013667D" w:rsidRDefault="0013667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L</w:t>
      </w:r>
      <w:r w:rsidR="0089168B">
        <w:rPr>
          <w:rFonts w:ascii="Arial" w:eastAsia="Times New Roman" w:hAnsi="Arial" w:cs="Arial"/>
          <w:bCs/>
          <w:sz w:val="24"/>
          <w:szCs w:val="24"/>
          <w:lang w:eastAsia="es-AR"/>
        </w:rPr>
        <w:t>a sobrevaloración de la herramienta</w:t>
      </w:r>
      <w:r>
        <w:rPr>
          <w:rFonts w:ascii="Arial" w:eastAsia="Times New Roman" w:hAnsi="Arial" w:cs="Arial"/>
          <w:bCs/>
          <w:sz w:val="24"/>
          <w:szCs w:val="24"/>
          <w:lang w:eastAsia="es-AR"/>
        </w:rPr>
        <w:t xml:space="preserve"> d</w:t>
      </w:r>
      <w:r w:rsidR="0089168B">
        <w:rPr>
          <w:rFonts w:ascii="Arial" w:eastAsia="Times New Roman" w:hAnsi="Arial" w:cs="Arial"/>
          <w:bCs/>
          <w:sz w:val="24"/>
          <w:szCs w:val="24"/>
          <w:lang w:eastAsia="es-AR"/>
        </w:rPr>
        <w:t>e partida por parte del docente generó</w:t>
      </w:r>
      <w:r>
        <w:rPr>
          <w:rFonts w:ascii="Arial" w:eastAsia="Times New Roman" w:hAnsi="Arial" w:cs="Arial"/>
          <w:bCs/>
          <w:sz w:val="24"/>
          <w:szCs w:val="24"/>
          <w:lang w:eastAsia="es-AR"/>
        </w:rPr>
        <w:t xml:space="preserve"> el primer gran inconveniente, los resultados de las dos experiencias académicas demostraron qu</w:t>
      </w:r>
      <w:r w:rsidR="008071F7">
        <w:rPr>
          <w:rFonts w:ascii="Arial" w:eastAsia="Times New Roman" w:hAnsi="Arial" w:cs="Arial"/>
          <w:bCs/>
          <w:sz w:val="24"/>
          <w:szCs w:val="24"/>
          <w:lang w:eastAsia="es-AR"/>
        </w:rPr>
        <w:t xml:space="preserve">e la gran mayoría de </w:t>
      </w:r>
      <w:r>
        <w:rPr>
          <w:rFonts w:ascii="Arial" w:eastAsia="Times New Roman" w:hAnsi="Arial" w:cs="Arial"/>
          <w:bCs/>
          <w:sz w:val="24"/>
          <w:szCs w:val="24"/>
          <w:lang w:eastAsia="es-AR"/>
        </w:rPr>
        <w:t>alumnos</w:t>
      </w:r>
      <w:r w:rsidR="008071F7">
        <w:rPr>
          <w:rFonts w:ascii="Arial" w:eastAsia="Times New Roman" w:hAnsi="Arial" w:cs="Arial"/>
          <w:bCs/>
          <w:sz w:val="24"/>
          <w:szCs w:val="24"/>
          <w:lang w:eastAsia="es-AR"/>
        </w:rPr>
        <w:t>/as</w:t>
      </w:r>
      <w:r>
        <w:rPr>
          <w:rFonts w:ascii="Arial" w:eastAsia="Times New Roman" w:hAnsi="Arial" w:cs="Arial"/>
          <w:bCs/>
          <w:sz w:val="24"/>
          <w:szCs w:val="24"/>
          <w:lang w:eastAsia="es-AR"/>
        </w:rPr>
        <w:t xml:space="preserve"> c</w:t>
      </w:r>
      <w:r w:rsidR="0089168B">
        <w:rPr>
          <w:rFonts w:ascii="Arial" w:eastAsia="Times New Roman" w:hAnsi="Arial" w:cs="Arial"/>
          <w:bCs/>
          <w:sz w:val="24"/>
          <w:szCs w:val="24"/>
          <w:lang w:eastAsia="es-AR"/>
        </w:rPr>
        <w:t xml:space="preserve">reían entender perfectamente qué es y cuál es el alcance de </w:t>
      </w:r>
      <w:r w:rsidR="000455D9">
        <w:rPr>
          <w:rFonts w:ascii="Arial" w:eastAsia="Times New Roman" w:hAnsi="Arial" w:cs="Arial"/>
          <w:bCs/>
          <w:sz w:val="24"/>
          <w:szCs w:val="24"/>
          <w:lang w:eastAsia="es-AR"/>
        </w:rPr>
        <w:t>las problemáticas de “Genero y D</w:t>
      </w:r>
      <w:r>
        <w:rPr>
          <w:rFonts w:ascii="Arial" w:eastAsia="Times New Roman" w:hAnsi="Arial" w:cs="Arial"/>
          <w:bCs/>
          <w:sz w:val="24"/>
          <w:szCs w:val="24"/>
          <w:lang w:eastAsia="es-AR"/>
        </w:rPr>
        <w:t xml:space="preserve">iversidad” y sin </w:t>
      </w:r>
      <w:r w:rsidR="006A063C">
        <w:rPr>
          <w:rFonts w:ascii="Arial" w:eastAsia="Times New Roman" w:hAnsi="Arial" w:cs="Arial"/>
          <w:bCs/>
          <w:sz w:val="24"/>
          <w:szCs w:val="24"/>
          <w:lang w:eastAsia="es-AR"/>
        </w:rPr>
        <w:t>embargo</w:t>
      </w:r>
      <w:r>
        <w:rPr>
          <w:rFonts w:ascii="Arial" w:eastAsia="Times New Roman" w:hAnsi="Arial" w:cs="Arial"/>
          <w:bCs/>
          <w:sz w:val="24"/>
          <w:szCs w:val="24"/>
          <w:lang w:eastAsia="es-AR"/>
        </w:rPr>
        <w:t xml:space="preserve"> no lo sabían; el universo mayoritario del alumnado </w:t>
      </w:r>
      <w:r w:rsidR="0089168B">
        <w:rPr>
          <w:rFonts w:ascii="Arial" w:eastAsia="Times New Roman" w:hAnsi="Arial" w:cs="Arial"/>
          <w:bCs/>
          <w:sz w:val="24"/>
          <w:szCs w:val="24"/>
          <w:lang w:eastAsia="es-AR"/>
        </w:rPr>
        <w:t>reprodujo una concepción limitada del “</w:t>
      </w:r>
      <w:r>
        <w:rPr>
          <w:rFonts w:ascii="Arial" w:eastAsia="Times New Roman" w:hAnsi="Arial" w:cs="Arial"/>
          <w:bCs/>
          <w:sz w:val="24"/>
          <w:szCs w:val="24"/>
          <w:lang w:eastAsia="es-AR"/>
        </w:rPr>
        <w:t>problema</w:t>
      </w:r>
      <w:r w:rsidR="0089168B">
        <w:rPr>
          <w:rFonts w:ascii="Arial" w:eastAsia="Times New Roman" w:hAnsi="Arial" w:cs="Arial"/>
          <w:bCs/>
          <w:sz w:val="24"/>
          <w:szCs w:val="24"/>
          <w:lang w:eastAsia="es-AR"/>
        </w:rPr>
        <w:t>” entre</w:t>
      </w:r>
      <w:r>
        <w:rPr>
          <w:rFonts w:ascii="Arial" w:eastAsia="Times New Roman" w:hAnsi="Arial" w:cs="Arial"/>
          <w:bCs/>
          <w:sz w:val="24"/>
          <w:szCs w:val="24"/>
          <w:lang w:eastAsia="es-AR"/>
        </w:rPr>
        <w:t xml:space="preserve"> “hombre y mujer” y sus desigualdades</w:t>
      </w:r>
      <w:r w:rsidR="0089168B">
        <w:rPr>
          <w:rFonts w:ascii="Arial" w:eastAsia="Times New Roman" w:hAnsi="Arial" w:cs="Arial"/>
          <w:bCs/>
          <w:sz w:val="24"/>
          <w:szCs w:val="24"/>
          <w:lang w:eastAsia="es-AR"/>
        </w:rPr>
        <w:t xml:space="preserve"> (algunas un par de ellas)</w:t>
      </w:r>
      <w:r>
        <w:rPr>
          <w:rFonts w:ascii="Arial" w:eastAsia="Times New Roman" w:hAnsi="Arial" w:cs="Arial"/>
          <w:bCs/>
          <w:sz w:val="24"/>
          <w:szCs w:val="24"/>
          <w:lang w:eastAsia="es-AR"/>
        </w:rPr>
        <w:t>.</w:t>
      </w:r>
    </w:p>
    <w:p w:rsidR="000E597D" w:rsidRDefault="0013667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Todo el mundo sabe o parece saber de </w:t>
      </w:r>
      <w:r w:rsidR="006A063C">
        <w:rPr>
          <w:rFonts w:ascii="Arial" w:eastAsia="Times New Roman" w:hAnsi="Arial" w:cs="Arial"/>
          <w:bCs/>
          <w:sz w:val="24"/>
          <w:szCs w:val="24"/>
          <w:lang w:eastAsia="es-AR"/>
        </w:rPr>
        <w:t>qué</w:t>
      </w:r>
      <w:r>
        <w:rPr>
          <w:rFonts w:ascii="Arial" w:eastAsia="Times New Roman" w:hAnsi="Arial" w:cs="Arial"/>
          <w:bCs/>
          <w:sz w:val="24"/>
          <w:szCs w:val="24"/>
          <w:lang w:eastAsia="es-AR"/>
        </w:rPr>
        <w:t xml:space="preserve"> se </w:t>
      </w:r>
      <w:r w:rsidR="006A063C">
        <w:rPr>
          <w:rFonts w:ascii="Arial" w:eastAsia="Times New Roman" w:hAnsi="Arial" w:cs="Arial"/>
          <w:bCs/>
          <w:sz w:val="24"/>
          <w:szCs w:val="24"/>
          <w:lang w:eastAsia="es-AR"/>
        </w:rPr>
        <w:t>trata,</w:t>
      </w:r>
      <w:r>
        <w:rPr>
          <w:rFonts w:ascii="Arial" w:eastAsia="Times New Roman" w:hAnsi="Arial" w:cs="Arial"/>
          <w:bCs/>
          <w:sz w:val="24"/>
          <w:szCs w:val="24"/>
          <w:lang w:eastAsia="es-AR"/>
        </w:rPr>
        <w:t xml:space="preserve"> pero este enfoque binario del Genero y la falta de registro de la “Diversidad” que ocurre como resultado de la </w:t>
      </w:r>
      <w:r>
        <w:rPr>
          <w:rFonts w:ascii="Arial" w:eastAsia="Times New Roman" w:hAnsi="Arial" w:cs="Arial"/>
          <w:bCs/>
          <w:sz w:val="24"/>
          <w:szCs w:val="24"/>
          <w:lang w:eastAsia="es-AR"/>
        </w:rPr>
        <w:lastRenderedPageBreak/>
        <w:t>experiencia en el aula universitaria no hace otra c</w:t>
      </w:r>
      <w:r w:rsidR="0089168B">
        <w:rPr>
          <w:rFonts w:ascii="Arial" w:eastAsia="Times New Roman" w:hAnsi="Arial" w:cs="Arial"/>
          <w:bCs/>
          <w:sz w:val="24"/>
          <w:szCs w:val="24"/>
          <w:lang w:eastAsia="es-AR"/>
        </w:rPr>
        <w:t xml:space="preserve">osa de reflejar la necesidad de comprender </w:t>
      </w:r>
      <w:r>
        <w:rPr>
          <w:rFonts w:ascii="Arial" w:eastAsia="Times New Roman" w:hAnsi="Arial" w:cs="Arial"/>
          <w:bCs/>
          <w:sz w:val="24"/>
          <w:szCs w:val="24"/>
          <w:lang w:eastAsia="es-AR"/>
        </w:rPr>
        <w:t>que nada debe s</w:t>
      </w:r>
      <w:r w:rsidR="006A063C">
        <w:rPr>
          <w:rFonts w:ascii="Arial" w:eastAsia="Times New Roman" w:hAnsi="Arial" w:cs="Arial"/>
          <w:bCs/>
          <w:sz w:val="24"/>
          <w:szCs w:val="24"/>
          <w:lang w:eastAsia="es-AR"/>
        </w:rPr>
        <w:t>obreentenderse como sabido, que el abordaje que se supone existente en una temática tan compleja y sensible no se encuentra lo</w:t>
      </w:r>
      <w:r w:rsidR="008071F7">
        <w:rPr>
          <w:rFonts w:ascii="Arial" w:eastAsia="Times New Roman" w:hAnsi="Arial" w:cs="Arial"/>
          <w:bCs/>
          <w:sz w:val="24"/>
          <w:szCs w:val="24"/>
          <w:lang w:eastAsia="es-AR"/>
        </w:rPr>
        <w:t xml:space="preserve"> suficientemente profundizada ni </w:t>
      </w:r>
      <w:r w:rsidR="006A063C">
        <w:rPr>
          <w:rFonts w:ascii="Arial" w:eastAsia="Times New Roman" w:hAnsi="Arial" w:cs="Arial"/>
          <w:bCs/>
          <w:sz w:val="24"/>
          <w:szCs w:val="24"/>
          <w:lang w:eastAsia="es-AR"/>
        </w:rPr>
        <w:t>complejizada en el ámbito académico universitario.</w:t>
      </w:r>
    </w:p>
    <w:p w:rsidR="0089168B" w:rsidRDefault="0089168B"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Que en algún punto del aprendizaje de esos alumnos</w:t>
      </w:r>
      <w:r w:rsidR="008071F7">
        <w:rPr>
          <w:rFonts w:ascii="Arial" w:eastAsia="Times New Roman" w:hAnsi="Arial" w:cs="Arial"/>
          <w:bCs/>
          <w:sz w:val="24"/>
          <w:szCs w:val="24"/>
          <w:lang w:eastAsia="es-AR"/>
        </w:rPr>
        <w:t>/as</w:t>
      </w:r>
      <w:r w:rsidR="005116EF">
        <w:rPr>
          <w:rFonts w:ascii="Arial" w:eastAsia="Times New Roman" w:hAnsi="Arial" w:cs="Arial"/>
          <w:bCs/>
          <w:sz w:val="24"/>
          <w:szCs w:val="24"/>
          <w:lang w:eastAsia="es-AR"/>
        </w:rPr>
        <w:t xml:space="preserve"> que transitan las ú</w:t>
      </w:r>
      <w:r>
        <w:rPr>
          <w:rFonts w:ascii="Arial" w:eastAsia="Times New Roman" w:hAnsi="Arial" w:cs="Arial"/>
          <w:bCs/>
          <w:sz w:val="24"/>
          <w:szCs w:val="24"/>
          <w:lang w:eastAsia="es-AR"/>
        </w:rPr>
        <w:t>ltimas materias de su carrer</w:t>
      </w:r>
      <w:r w:rsidR="000455D9">
        <w:rPr>
          <w:rFonts w:ascii="Arial" w:eastAsia="Times New Roman" w:hAnsi="Arial" w:cs="Arial"/>
          <w:bCs/>
          <w:sz w:val="24"/>
          <w:szCs w:val="24"/>
          <w:lang w:eastAsia="es-AR"/>
        </w:rPr>
        <w:t xml:space="preserve">a, </w:t>
      </w:r>
      <w:r w:rsidR="008071F7">
        <w:rPr>
          <w:rFonts w:ascii="Arial" w:eastAsia="Times New Roman" w:hAnsi="Arial" w:cs="Arial"/>
          <w:bCs/>
          <w:sz w:val="24"/>
          <w:szCs w:val="24"/>
          <w:lang w:eastAsia="es-AR"/>
        </w:rPr>
        <w:t xml:space="preserve">faltó hacerles llegar la </w:t>
      </w:r>
      <w:r>
        <w:rPr>
          <w:rFonts w:ascii="Arial" w:eastAsia="Times New Roman" w:hAnsi="Arial" w:cs="Arial"/>
          <w:bCs/>
          <w:sz w:val="24"/>
          <w:szCs w:val="24"/>
          <w:lang w:eastAsia="es-AR"/>
        </w:rPr>
        <w:t>transversalidad en todas las áreas del Derecho</w:t>
      </w:r>
      <w:r w:rsidR="008071F7">
        <w:rPr>
          <w:rFonts w:ascii="Arial" w:eastAsia="Times New Roman" w:hAnsi="Arial" w:cs="Arial"/>
          <w:bCs/>
          <w:sz w:val="24"/>
          <w:szCs w:val="24"/>
          <w:lang w:eastAsia="es-AR"/>
        </w:rPr>
        <w:t xml:space="preserve"> y que el Derecho es “uno solo”</w:t>
      </w:r>
      <w:r>
        <w:rPr>
          <w:rFonts w:ascii="Arial" w:eastAsia="Times New Roman" w:hAnsi="Arial" w:cs="Arial"/>
          <w:bCs/>
          <w:sz w:val="24"/>
          <w:szCs w:val="24"/>
          <w:lang w:eastAsia="es-AR"/>
        </w:rPr>
        <w:t>.</w:t>
      </w:r>
    </w:p>
    <w:p w:rsidR="006A063C" w:rsidRPr="000E597D" w:rsidRDefault="00B471A6"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Pero antes de adelantar</w:t>
      </w:r>
      <w:r w:rsidR="006A063C">
        <w:rPr>
          <w:rFonts w:ascii="Arial" w:eastAsia="Times New Roman" w:hAnsi="Arial" w:cs="Arial"/>
          <w:bCs/>
          <w:sz w:val="24"/>
          <w:szCs w:val="24"/>
          <w:lang w:eastAsia="es-AR"/>
        </w:rPr>
        <w:t xml:space="preserve"> conclusiones </w:t>
      </w:r>
      <w:r w:rsidR="0089168B">
        <w:rPr>
          <w:rFonts w:ascii="Arial" w:eastAsia="Times New Roman" w:hAnsi="Arial" w:cs="Arial"/>
          <w:bCs/>
          <w:sz w:val="24"/>
          <w:szCs w:val="24"/>
          <w:lang w:eastAsia="es-AR"/>
        </w:rPr>
        <w:t>se propone</w:t>
      </w:r>
      <w:r w:rsidR="006A063C">
        <w:rPr>
          <w:rFonts w:ascii="Arial" w:eastAsia="Times New Roman" w:hAnsi="Arial" w:cs="Arial"/>
          <w:bCs/>
          <w:sz w:val="24"/>
          <w:szCs w:val="24"/>
          <w:lang w:eastAsia="es-AR"/>
        </w:rPr>
        <w:t xml:space="preserve"> observar</w:t>
      </w:r>
      <w:r w:rsidR="008071F7">
        <w:rPr>
          <w:rFonts w:ascii="Arial" w:eastAsia="Times New Roman" w:hAnsi="Arial" w:cs="Arial"/>
          <w:bCs/>
          <w:sz w:val="24"/>
          <w:szCs w:val="24"/>
          <w:lang w:eastAsia="es-AR"/>
        </w:rPr>
        <w:t xml:space="preserve"> la narración breve de</w:t>
      </w:r>
      <w:r w:rsidR="006A063C">
        <w:rPr>
          <w:rFonts w:ascii="Arial" w:eastAsia="Times New Roman" w:hAnsi="Arial" w:cs="Arial"/>
          <w:bCs/>
          <w:sz w:val="24"/>
          <w:szCs w:val="24"/>
          <w:lang w:eastAsia="es-AR"/>
        </w:rPr>
        <w:t xml:space="preserve"> las dos experiencias:</w:t>
      </w:r>
    </w:p>
    <w:p w:rsidR="000E597D" w:rsidRDefault="006A063C" w:rsidP="000E597D">
      <w:pPr>
        <w:spacing w:after="0" w:line="360" w:lineRule="auto"/>
        <w:jc w:val="both"/>
        <w:rPr>
          <w:rFonts w:ascii="Arial" w:eastAsia="Times New Roman" w:hAnsi="Arial" w:cs="Arial"/>
          <w:b/>
          <w:bCs/>
          <w:sz w:val="24"/>
          <w:szCs w:val="24"/>
          <w:lang w:eastAsia="es-AR"/>
        </w:rPr>
      </w:pPr>
      <w:r>
        <w:rPr>
          <w:rFonts w:ascii="Arial" w:eastAsia="Times New Roman" w:hAnsi="Arial" w:cs="Arial"/>
          <w:b/>
          <w:bCs/>
          <w:sz w:val="24"/>
          <w:szCs w:val="24"/>
          <w:lang w:eastAsia="es-AR"/>
        </w:rPr>
        <w:t>1-Experiencia</w:t>
      </w:r>
      <w:r w:rsidR="000E597D">
        <w:rPr>
          <w:rFonts w:ascii="Arial" w:eastAsia="Times New Roman" w:hAnsi="Arial" w:cs="Arial"/>
          <w:b/>
          <w:bCs/>
          <w:sz w:val="24"/>
          <w:szCs w:val="24"/>
          <w:lang w:eastAsia="es-AR"/>
        </w:rPr>
        <w:t xml:space="preserve"> “creación de norma tributaria que </w:t>
      </w:r>
      <w:r>
        <w:rPr>
          <w:rFonts w:ascii="Arial" w:eastAsia="Times New Roman" w:hAnsi="Arial" w:cs="Arial"/>
          <w:b/>
          <w:bCs/>
          <w:sz w:val="24"/>
          <w:szCs w:val="24"/>
          <w:lang w:eastAsia="es-AR"/>
        </w:rPr>
        <w:t>mitigue</w:t>
      </w:r>
      <w:r w:rsidR="000E597D">
        <w:rPr>
          <w:rFonts w:ascii="Arial" w:eastAsia="Times New Roman" w:hAnsi="Arial" w:cs="Arial"/>
          <w:b/>
          <w:bCs/>
          <w:sz w:val="24"/>
          <w:szCs w:val="24"/>
          <w:lang w:eastAsia="es-AR"/>
        </w:rPr>
        <w:t xml:space="preserve"> las desigualdades de </w:t>
      </w:r>
      <w:r>
        <w:rPr>
          <w:rFonts w:ascii="Arial" w:eastAsia="Times New Roman" w:hAnsi="Arial" w:cs="Arial"/>
          <w:b/>
          <w:bCs/>
          <w:sz w:val="24"/>
          <w:szCs w:val="24"/>
          <w:lang w:eastAsia="es-AR"/>
        </w:rPr>
        <w:t>género</w:t>
      </w:r>
      <w:r w:rsidR="000E597D">
        <w:rPr>
          <w:rFonts w:ascii="Arial" w:eastAsia="Times New Roman" w:hAnsi="Arial" w:cs="Arial"/>
          <w:b/>
          <w:bCs/>
          <w:sz w:val="24"/>
          <w:szCs w:val="24"/>
          <w:lang w:eastAsia="es-AR"/>
        </w:rPr>
        <w:t xml:space="preserve"> y diversidad”</w:t>
      </w:r>
    </w:p>
    <w:p w:rsidR="005116EF" w:rsidRDefault="00D32180"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De manera grupal y en equipo se propuso a los</w:t>
      </w:r>
      <w:r w:rsidR="00DF0957">
        <w:rPr>
          <w:rFonts w:ascii="Arial" w:eastAsia="Times New Roman" w:hAnsi="Arial" w:cs="Arial"/>
          <w:bCs/>
          <w:sz w:val="24"/>
          <w:szCs w:val="24"/>
          <w:lang w:eastAsia="es-AR"/>
        </w:rPr>
        <w:t>/las</w:t>
      </w:r>
      <w:r>
        <w:rPr>
          <w:rFonts w:ascii="Arial" w:eastAsia="Times New Roman" w:hAnsi="Arial" w:cs="Arial"/>
          <w:bCs/>
          <w:sz w:val="24"/>
          <w:szCs w:val="24"/>
          <w:lang w:eastAsia="es-AR"/>
        </w:rPr>
        <w:t xml:space="preserve"> alumnos</w:t>
      </w:r>
      <w:r w:rsidR="00DF0957">
        <w:rPr>
          <w:rFonts w:ascii="Arial" w:eastAsia="Times New Roman" w:hAnsi="Arial" w:cs="Arial"/>
          <w:bCs/>
          <w:sz w:val="24"/>
          <w:szCs w:val="24"/>
          <w:lang w:eastAsia="es-AR"/>
        </w:rPr>
        <w:t>/as</w:t>
      </w:r>
      <w:r>
        <w:rPr>
          <w:rFonts w:ascii="Arial" w:eastAsia="Times New Roman" w:hAnsi="Arial" w:cs="Arial"/>
          <w:bCs/>
          <w:sz w:val="24"/>
          <w:szCs w:val="24"/>
          <w:lang w:eastAsia="es-AR"/>
        </w:rPr>
        <w:t xml:space="preserve"> que crearan una norma tributaria que </w:t>
      </w:r>
      <w:r w:rsidR="005116EF">
        <w:rPr>
          <w:rFonts w:ascii="Arial" w:eastAsia="Times New Roman" w:hAnsi="Arial" w:cs="Arial"/>
          <w:bCs/>
          <w:sz w:val="24"/>
          <w:szCs w:val="24"/>
          <w:lang w:eastAsia="es-AR"/>
        </w:rPr>
        <w:t>contuviera</w:t>
      </w:r>
      <w:r>
        <w:rPr>
          <w:rFonts w:ascii="Arial" w:eastAsia="Times New Roman" w:hAnsi="Arial" w:cs="Arial"/>
          <w:bCs/>
          <w:sz w:val="24"/>
          <w:szCs w:val="24"/>
          <w:lang w:eastAsia="es-AR"/>
        </w:rPr>
        <w:t xml:space="preserve"> un fin </w:t>
      </w:r>
      <w:r w:rsidR="005116EF">
        <w:rPr>
          <w:rFonts w:ascii="Arial" w:eastAsia="Times New Roman" w:hAnsi="Arial" w:cs="Arial"/>
          <w:bCs/>
          <w:sz w:val="24"/>
          <w:szCs w:val="24"/>
          <w:lang w:eastAsia="es-AR"/>
        </w:rPr>
        <w:t xml:space="preserve">“finalidad </w:t>
      </w:r>
      <w:proofErr w:type="spellStart"/>
      <w:r w:rsidR="005116EF">
        <w:rPr>
          <w:rFonts w:ascii="Arial" w:eastAsia="Times New Roman" w:hAnsi="Arial" w:cs="Arial"/>
          <w:bCs/>
          <w:sz w:val="24"/>
          <w:szCs w:val="24"/>
          <w:lang w:eastAsia="es-AR"/>
        </w:rPr>
        <w:t>extrafiscal</w:t>
      </w:r>
      <w:proofErr w:type="spellEnd"/>
      <w:r w:rsidR="005116EF">
        <w:rPr>
          <w:rFonts w:ascii="Arial" w:eastAsia="Times New Roman" w:hAnsi="Arial" w:cs="Arial"/>
          <w:bCs/>
          <w:sz w:val="24"/>
          <w:szCs w:val="24"/>
          <w:lang w:eastAsia="es-AR"/>
        </w:rPr>
        <w:t>” tendiente a</w:t>
      </w:r>
      <w:r>
        <w:rPr>
          <w:rFonts w:ascii="Arial" w:eastAsia="Times New Roman" w:hAnsi="Arial" w:cs="Arial"/>
          <w:bCs/>
          <w:sz w:val="24"/>
          <w:szCs w:val="24"/>
          <w:lang w:eastAsia="es-AR"/>
        </w:rPr>
        <w:t xml:space="preserve"> mitigar las desigualdades de género y diversidad social, es </w:t>
      </w:r>
      <w:r w:rsidR="005116EF">
        <w:rPr>
          <w:rFonts w:ascii="Arial" w:eastAsia="Times New Roman" w:hAnsi="Arial" w:cs="Arial"/>
          <w:bCs/>
          <w:sz w:val="24"/>
          <w:szCs w:val="24"/>
          <w:lang w:eastAsia="es-AR"/>
        </w:rPr>
        <w:t>así</w:t>
      </w:r>
      <w:r>
        <w:rPr>
          <w:rFonts w:ascii="Arial" w:eastAsia="Times New Roman" w:hAnsi="Arial" w:cs="Arial"/>
          <w:bCs/>
          <w:sz w:val="24"/>
          <w:szCs w:val="24"/>
          <w:lang w:eastAsia="es-AR"/>
        </w:rPr>
        <w:t xml:space="preserve"> que mediante la herramienta del Foro de la plataforma de la Facultad se </w:t>
      </w:r>
      <w:r w:rsidR="005116EF">
        <w:rPr>
          <w:rFonts w:ascii="Arial" w:eastAsia="Times New Roman" w:hAnsi="Arial" w:cs="Arial"/>
          <w:bCs/>
          <w:sz w:val="24"/>
          <w:szCs w:val="24"/>
          <w:lang w:eastAsia="es-AR"/>
        </w:rPr>
        <w:t>solicitó</w:t>
      </w:r>
      <w:r>
        <w:rPr>
          <w:rFonts w:ascii="Arial" w:eastAsia="Times New Roman" w:hAnsi="Arial" w:cs="Arial"/>
          <w:bCs/>
          <w:sz w:val="24"/>
          <w:szCs w:val="24"/>
          <w:lang w:eastAsia="es-AR"/>
        </w:rPr>
        <w:t xml:space="preserve"> que los</w:t>
      </w:r>
      <w:r w:rsidR="00DF0957">
        <w:rPr>
          <w:rFonts w:ascii="Arial" w:eastAsia="Times New Roman" w:hAnsi="Arial" w:cs="Arial"/>
          <w:bCs/>
          <w:sz w:val="24"/>
          <w:szCs w:val="24"/>
          <w:lang w:eastAsia="es-AR"/>
        </w:rPr>
        <w:t>/las</w:t>
      </w:r>
      <w:r>
        <w:rPr>
          <w:rFonts w:ascii="Arial" w:eastAsia="Times New Roman" w:hAnsi="Arial" w:cs="Arial"/>
          <w:bCs/>
          <w:sz w:val="24"/>
          <w:szCs w:val="24"/>
          <w:lang w:eastAsia="es-AR"/>
        </w:rPr>
        <w:t xml:space="preserve"> alumnos</w:t>
      </w:r>
      <w:r w:rsidR="00B471A6">
        <w:rPr>
          <w:rFonts w:ascii="Arial" w:eastAsia="Times New Roman" w:hAnsi="Arial" w:cs="Arial"/>
          <w:bCs/>
          <w:sz w:val="24"/>
          <w:szCs w:val="24"/>
          <w:lang w:eastAsia="es-AR"/>
        </w:rPr>
        <w:t>/as</w:t>
      </w:r>
      <w:r w:rsidR="005116EF">
        <w:rPr>
          <w:rFonts w:ascii="Arial" w:eastAsia="Times New Roman" w:hAnsi="Arial" w:cs="Arial"/>
          <w:bCs/>
          <w:sz w:val="24"/>
          <w:szCs w:val="24"/>
          <w:lang w:eastAsia="es-AR"/>
        </w:rPr>
        <w:t xml:space="preserve"> produjeran su norma tributaria.</w:t>
      </w:r>
    </w:p>
    <w:p w:rsidR="005116EF" w:rsidRDefault="005116EF"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El objetivo de la actividad era entre otros trabajar la selección de la norma (principio de legalidad </w:t>
      </w:r>
      <w:r w:rsidR="00EB68EE">
        <w:rPr>
          <w:rFonts w:ascii="Arial" w:eastAsia="Times New Roman" w:hAnsi="Arial" w:cs="Arial"/>
          <w:bCs/>
          <w:sz w:val="24"/>
          <w:szCs w:val="24"/>
          <w:lang w:eastAsia="es-AR"/>
        </w:rPr>
        <w:t>tributaria</w:t>
      </w:r>
      <w:r>
        <w:rPr>
          <w:rFonts w:ascii="Arial" w:eastAsia="Times New Roman" w:hAnsi="Arial" w:cs="Arial"/>
          <w:bCs/>
          <w:sz w:val="24"/>
          <w:szCs w:val="24"/>
          <w:lang w:eastAsia="es-AR"/>
        </w:rPr>
        <w:t xml:space="preserve">), diseños de políticas tributarias inclusivas, exenciones, análisis de fines fiscales (meramente recaudatorios) y </w:t>
      </w:r>
      <w:proofErr w:type="spellStart"/>
      <w:r>
        <w:rPr>
          <w:rFonts w:ascii="Arial" w:eastAsia="Times New Roman" w:hAnsi="Arial" w:cs="Arial"/>
          <w:bCs/>
          <w:sz w:val="24"/>
          <w:szCs w:val="24"/>
          <w:lang w:eastAsia="es-AR"/>
        </w:rPr>
        <w:t>extrafiscales</w:t>
      </w:r>
      <w:proofErr w:type="spellEnd"/>
      <w:r>
        <w:rPr>
          <w:rFonts w:ascii="Arial" w:eastAsia="Times New Roman" w:hAnsi="Arial" w:cs="Arial"/>
          <w:bCs/>
          <w:sz w:val="24"/>
          <w:szCs w:val="24"/>
          <w:lang w:eastAsia="es-AR"/>
        </w:rPr>
        <w:t xml:space="preserve"> (tendientes a modificar pautas de conductas), trabajar con la posibilidad de generar beneficios mediante los elementos cuantitativos de la obligación jurídico tributaria, esto es, proponer modificaciones que impacten a base imponible o alícuota, </w:t>
      </w:r>
    </w:p>
    <w:p w:rsidR="005116EF" w:rsidRDefault="005116EF"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La consigna otorgada consistía en definitiva en la posibilidad de crear un Tributo, modificar uno ya existente y/o tocar normas procedimentales </w:t>
      </w:r>
      <w:r w:rsidR="00EB68EE">
        <w:rPr>
          <w:rFonts w:ascii="Arial" w:eastAsia="Times New Roman" w:hAnsi="Arial" w:cs="Arial"/>
          <w:bCs/>
          <w:sz w:val="24"/>
          <w:szCs w:val="24"/>
          <w:lang w:eastAsia="es-AR"/>
        </w:rPr>
        <w:t>tributarias</w:t>
      </w:r>
      <w:r>
        <w:rPr>
          <w:rFonts w:ascii="Arial" w:eastAsia="Times New Roman" w:hAnsi="Arial" w:cs="Arial"/>
          <w:bCs/>
          <w:sz w:val="24"/>
          <w:szCs w:val="24"/>
          <w:lang w:eastAsia="es-AR"/>
        </w:rPr>
        <w:t xml:space="preserve"> en cualquier jurisdicción, todo ello fundamentado en base y consideración </w:t>
      </w:r>
      <w:r w:rsidR="00EB68EE">
        <w:rPr>
          <w:rFonts w:ascii="Arial" w:eastAsia="Times New Roman" w:hAnsi="Arial" w:cs="Arial"/>
          <w:bCs/>
          <w:sz w:val="24"/>
          <w:szCs w:val="24"/>
          <w:lang w:eastAsia="es-AR"/>
        </w:rPr>
        <w:t>exclus</w:t>
      </w:r>
      <w:r w:rsidR="00B471A6">
        <w:rPr>
          <w:rFonts w:ascii="Arial" w:eastAsia="Times New Roman" w:hAnsi="Arial" w:cs="Arial"/>
          <w:bCs/>
          <w:sz w:val="24"/>
          <w:szCs w:val="24"/>
          <w:lang w:eastAsia="es-AR"/>
        </w:rPr>
        <w:t>iva de las fuentes del D</w:t>
      </w:r>
      <w:r>
        <w:rPr>
          <w:rFonts w:ascii="Arial" w:eastAsia="Times New Roman" w:hAnsi="Arial" w:cs="Arial"/>
          <w:bCs/>
          <w:sz w:val="24"/>
          <w:szCs w:val="24"/>
          <w:lang w:eastAsia="es-AR"/>
        </w:rPr>
        <w:t>erecho.</w:t>
      </w:r>
    </w:p>
    <w:p w:rsidR="005116EF" w:rsidRDefault="005116EF"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L</w:t>
      </w:r>
      <w:r w:rsidR="00B471A6">
        <w:rPr>
          <w:rFonts w:ascii="Arial" w:eastAsia="Times New Roman" w:hAnsi="Arial" w:cs="Arial"/>
          <w:bCs/>
          <w:sz w:val="24"/>
          <w:szCs w:val="24"/>
          <w:lang w:eastAsia="es-AR"/>
        </w:rPr>
        <w:t xml:space="preserve">a modalidad de expresión de </w:t>
      </w:r>
      <w:r>
        <w:rPr>
          <w:rFonts w:ascii="Arial" w:eastAsia="Times New Roman" w:hAnsi="Arial" w:cs="Arial"/>
          <w:bCs/>
          <w:sz w:val="24"/>
          <w:szCs w:val="24"/>
          <w:lang w:eastAsia="es-AR"/>
        </w:rPr>
        <w:t>alumnos</w:t>
      </w:r>
      <w:r w:rsidR="00B471A6">
        <w:rPr>
          <w:rFonts w:ascii="Arial" w:eastAsia="Times New Roman" w:hAnsi="Arial" w:cs="Arial"/>
          <w:bCs/>
          <w:sz w:val="24"/>
          <w:szCs w:val="24"/>
          <w:lang w:eastAsia="es-AR"/>
        </w:rPr>
        <w:t>/as</w:t>
      </w:r>
      <w:r>
        <w:rPr>
          <w:rFonts w:ascii="Arial" w:eastAsia="Times New Roman" w:hAnsi="Arial" w:cs="Arial"/>
          <w:bCs/>
          <w:sz w:val="24"/>
          <w:szCs w:val="24"/>
          <w:lang w:eastAsia="es-AR"/>
        </w:rPr>
        <w:t xml:space="preserve"> </w:t>
      </w:r>
      <w:r w:rsidR="00EB68EE">
        <w:rPr>
          <w:rFonts w:ascii="Arial" w:eastAsia="Times New Roman" w:hAnsi="Arial" w:cs="Arial"/>
          <w:bCs/>
          <w:sz w:val="24"/>
          <w:szCs w:val="24"/>
          <w:lang w:eastAsia="es-AR"/>
        </w:rPr>
        <w:t>consistió</w:t>
      </w:r>
      <w:r w:rsidR="00B471A6">
        <w:rPr>
          <w:rFonts w:ascii="Arial" w:eastAsia="Times New Roman" w:hAnsi="Arial" w:cs="Arial"/>
          <w:bCs/>
          <w:sz w:val="24"/>
          <w:szCs w:val="24"/>
          <w:lang w:eastAsia="es-AR"/>
        </w:rPr>
        <w:t xml:space="preserve"> en trabajar en equipos</w:t>
      </w:r>
      <w:r>
        <w:rPr>
          <w:rFonts w:ascii="Arial" w:eastAsia="Times New Roman" w:hAnsi="Arial" w:cs="Arial"/>
          <w:bCs/>
          <w:sz w:val="24"/>
          <w:szCs w:val="24"/>
          <w:lang w:eastAsia="es-AR"/>
        </w:rPr>
        <w:t xml:space="preserve"> en la elaboración solicitada y plasmar tal trabajo en un foro adjuntando (si fuera necesario) el archivo en donde contuviera su producción normativa, para </w:t>
      </w:r>
      <w:r w:rsidR="00EB68EE">
        <w:rPr>
          <w:rFonts w:ascii="Arial" w:eastAsia="Times New Roman" w:hAnsi="Arial" w:cs="Arial"/>
          <w:bCs/>
          <w:sz w:val="24"/>
          <w:szCs w:val="24"/>
          <w:lang w:eastAsia="es-AR"/>
        </w:rPr>
        <w:t>así</w:t>
      </w:r>
      <w:r>
        <w:rPr>
          <w:rFonts w:ascii="Arial" w:eastAsia="Times New Roman" w:hAnsi="Arial" w:cs="Arial"/>
          <w:bCs/>
          <w:sz w:val="24"/>
          <w:szCs w:val="24"/>
          <w:lang w:eastAsia="es-AR"/>
        </w:rPr>
        <w:t xml:space="preserve"> poder </w:t>
      </w:r>
      <w:r w:rsidR="00EB68EE">
        <w:rPr>
          <w:rFonts w:ascii="Arial" w:eastAsia="Times New Roman" w:hAnsi="Arial" w:cs="Arial"/>
          <w:bCs/>
          <w:sz w:val="24"/>
          <w:szCs w:val="24"/>
          <w:lang w:eastAsia="es-AR"/>
        </w:rPr>
        <w:t>socializar entre</w:t>
      </w:r>
      <w:r w:rsidR="00B471A6">
        <w:rPr>
          <w:rFonts w:ascii="Arial" w:eastAsia="Times New Roman" w:hAnsi="Arial" w:cs="Arial"/>
          <w:bCs/>
          <w:sz w:val="24"/>
          <w:szCs w:val="24"/>
          <w:lang w:eastAsia="es-AR"/>
        </w:rPr>
        <w:t xml:space="preserve"> todos </w:t>
      </w:r>
      <w:r>
        <w:rPr>
          <w:rFonts w:ascii="Arial" w:eastAsia="Times New Roman" w:hAnsi="Arial" w:cs="Arial"/>
          <w:bCs/>
          <w:sz w:val="24"/>
          <w:szCs w:val="24"/>
          <w:lang w:eastAsia="es-AR"/>
        </w:rPr>
        <w:t xml:space="preserve">y generar una puesta en común posterior en la clase </w:t>
      </w:r>
      <w:r w:rsidR="00EB68EE">
        <w:rPr>
          <w:rFonts w:ascii="Arial" w:eastAsia="Times New Roman" w:hAnsi="Arial" w:cs="Arial"/>
          <w:bCs/>
          <w:sz w:val="24"/>
          <w:szCs w:val="24"/>
          <w:lang w:eastAsia="es-AR"/>
        </w:rPr>
        <w:t xml:space="preserve">sincrónica y </w:t>
      </w:r>
      <w:r w:rsidR="00C536BD">
        <w:rPr>
          <w:rFonts w:ascii="Arial" w:eastAsia="Times New Roman" w:hAnsi="Arial" w:cs="Arial"/>
          <w:bCs/>
          <w:sz w:val="24"/>
          <w:szCs w:val="24"/>
          <w:lang w:eastAsia="es-AR"/>
        </w:rPr>
        <w:t>así</w:t>
      </w:r>
      <w:r w:rsidR="00EB68EE">
        <w:rPr>
          <w:rFonts w:ascii="Arial" w:eastAsia="Times New Roman" w:hAnsi="Arial" w:cs="Arial"/>
          <w:bCs/>
          <w:sz w:val="24"/>
          <w:szCs w:val="24"/>
          <w:lang w:eastAsia="es-AR"/>
        </w:rPr>
        <w:t xml:space="preserve"> “en el ideal </w:t>
      </w:r>
      <w:r w:rsidR="00EB68EE">
        <w:rPr>
          <w:rFonts w:ascii="Arial" w:eastAsia="Times New Roman" w:hAnsi="Arial" w:cs="Arial"/>
          <w:bCs/>
          <w:sz w:val="24"/>
          <w:szCs w:val="24"/>
          <w:lang w:eastAsia="es-AR"/>
        </w:rPr>
        <w:lastRenderedPageBreak/>
        <w:t>docente” trabajar el cierre de la aplicación de los elementos propio</w:t>
      </w:r>
      <w:r w:rsidR="00B471A6">
        <w:rPr>
          <w:rFonts w:ascii="Arial" w:eastAsia="Times New Roman" w:hAnsi="Arial" w:cs="Arial"/>
          <w:bCs/>
          <w:sz w:val="24"/>
          <w:szCs w:val="24"/>
          <w:lang w:eastAsia="es-AR"/>
        </w:rPr>
        <w:t>s de las Finanzas P</w:t>
      </w:r>
      <w:r w:rsidR="00EB68EE">
        <w:rPr>
          <w:rFonts w:ascii="Arial" w:eastAsia="Times New Roman" w:hAnsi="Arial" w:cs="Arial"/>
          <w:bCs/>
          <w:sz w:val="24"/>
          <w:szCs w:val="24"/>
          <w:lang w:eastAsia="es-AR"/>
        </w:rPr>
        <w:t>úblicas.</w:t>
      </w:r>
    </w:p>
    <w:p w:rsidR="00EB68EE" w:rsidRDefault="00EB68EE"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 xml:space="preserve">Sin embargo, cuando se procedió al análisis de las producciones </w:t>
      </w:r>
      <w:r w:rsidR="00312810">
        <w:rPr>
          <w:rFonts w:ascii="Arial" w:eastAsia="Times New Roman" w:hAnsi="Arial" w:cs="Arial"/>
          <w:bCs/>
          <w:sz w:val="24"/>
          <w:szCs w:val="24"/>
          <w:lang w:eastAsia="es-AR"/>
        </w:rPr>
        <w:t>se observ</w:t>
      </w:r>
      <w:r>
        <w:rPr>
          <w:rFonts w:ascii="Arial" w:eastAsia="Times New Roman" w:hAnsi="Arial" w:cs="Arial"/>
          <w:bCs/>
          <w:sz w:val="24"/>
          <w:szCs w:val="24"/>
          <w:lang w:eastAsia="es-AR"/>
        </w:rPr>
        <w:t xml:space="preserve">ó la </w:t>
      </w:r>
      <w:r w:rsidR="00C536BD">
        <w:rPr>
          <w:rFonts w:ascii="Arial" w:eastAsia="Times New Roman" w:hAnsi="Arial" w:cs="Arial"/>
          <w:bCs/>
          <w:sz w:val="24"/>
          <w:szCs w:val="24"/>
          <w:lang w:eastAsia="es-AR"/>
        </w:rPr>
        <w:t>primera sorpresa</w:t>
      </w:r>
      <w:r>
        <w:rPr>
          <w:rFonts w:ascii="Arial" w:eastAsia="Times New Roman" w:hAnsi="Arial" w:cs="Arial"/>
          <w:bCs/>
          <w:sz w:val="24"/>
          <w:szCs w:val="24"/>
          <w:lang w:eastAsia="es-AR"/>
        </w:rPr>
        <w:t xml:space="preserve">, de 9 grupos de 6 integrantes cada uno, 8 grupos habían efectuado normas vinculada a la protección de la </w:t>
      </w:r>
      <w:r w:rsidR="00312810">
        <w:rPr>
          <w:rFonts w:ascii="Arial" w:eastAsia="Times New Roman" w:hAnsi="Arial" w:cs="Arial"/>
          <w:bCs/>
          <w:sz w:val="24"/>
          <w:szCs w:val="24"/>
          <w:lang w:eastAsia="es-AR"/>
        </w:rPr>
        <w:t xml:space="preserve">única y exclusivamente de la </w:t>
      </w:r>
      <w:r>
        <w:rPr>
          <w:rFonts w:ascii="Arial" w:eastAsia="Times New Roman" w:hAnsi="Arial" w:cs="Arial"/>
          <w:bCs/>
          <w:sz w:val="24"/>
          <w:szCs w:val="24"/>
          <w:lang w:eastAsia="es-AR"/>
        </w:rPr>
        <w:t xml:space="preserve">“mujer”, y 1 grupo sobre comunidades </w:t>
      </w:r>
      <w:proofErr w:type="spellStart"/>
      <w:r>
        <w:rPr>
          <w:rFonts w:ascii="Arial" w:eastAsia="Times New Roman" w:hAnsi="Arial" w:cs="Arial"/>
          <w:bCs/>
          <w:sz w:val="24"/>
          <w:szCs w:val="24"/>
          <w:lang w:eastAsia="es-AR"/>
        </w:rPr>
        <w:t>trans</w:t>
      </w:r>
      <w:proofErr w:type="spellEnd"/>
      <w:r>
        <w:rPr>
          <w:rFonts w:ascii="Arial" w:eastAsia="Times New Roman" w:hAnsi="Arial" w:cs="Arial"/>
          <w:bCs/>
          <w:sz w:val="24"/>
          <w:szCs w:val="24"/>
          <w:lang w:eastAsia="es-AR"/>
        </w:rPr>
        <w:t xml:space="preserve"> </w:t>
      </w:r>
      <w:proofErr w:type="spellStart"/>
      <w:r>
        <w:rPr>
          <w:rFonts w:ascii="Arial" w:eastAsia="Times New Roman" w:hAnsi="Arial" w:cs="Arial"/>
          <w:bCs/>
          <w:sz w:val="24"/>
          <w:szCs w:val="24"/>
          <w:lang w:eastAsia="es-AR"/>
        </w:rPr>
        <w:t>lgbtq</w:t>
      </w:r>
      <w:proofErr w:type="spellEnd"/>
      <w:r>
        <w:rPr>
          <w:rFonts w:ascii="Arial" w:eastAsia="Times New Roman" w:hAnsi="Arial" w:cs="Arial"/>
          <w:bCs/>
          <w:sz w:val="24"/>
          <w:szCs w:val="24"/>
          <w:lang w:eastAsia="es-AR"/>
        </w:rPr>
        <w:t>+ y mujer.</w:t>
      </w:r>
    </w:p>
    <w:p w:rsidR="00EB68EE" w:rsidRDefault="00EB68EE"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Pero la segunda sorpresa para el docente consistió en que de esos 8 grupos todos entendieron que la situación a proteger era únicamente la violencia física del hombre a la mujer.</w:t>
      </w:r>
    </w:p>
    <w:p w:rsidR="00EB68EE" w:rsidRDefault="00EB68EE"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Ante tal situación</w:t>
      </w:r>
      <w:r w:rsidR="00312810">
        <w:rPr>
          <w:rFonts w:ascii="Arial" w:eastAsia="Times New Roman" w:hAnsi="Arial" w:cs="Arial"/>
          <w:bCs/>
          <w:sz w:val="24"/>
          <w:szCs w:val="24"/>
          <w:lang w:eastAsia="es-AR"/>
        </w:rPr>
        <w:t xml:space="preserve"> se</w:t>
      </w:r>
      <w:r>
        <w:rPr>
          <w:rFonts w:ascii="Arial" w:eastAsia="Times New Roman" w:hAnsi="Arial" w:cs="Arial"/>
          <w:bCs/>
          <w:sz w:val="24"/>
          <w:szCs w:val="24"/>
          <w:lang w:eastAsia="es-AR"/>
        </w:rPr>
        <w:t xml:space="preserve"> puede al menos tomar uno de estos dos caminos: 1- segui</w:t>
      </w:r>
      <w:r w:rsidR="00312810">
        <w:rPr>
          <w:rFonts w:ascii="Arial" w:eastAsia="Times New Roman" w:hAnsi="Arial" w:cs="Arial"/>
          <w:bCs/>
          <w:sz w:val="24"/>
          <w:szCs w:val="24"/>
          <w:lang w:eastAsia="es-AR"/>
        </w:rPr>
        <w:t>r abordando la temática de las Finanzas P</w:t>
      </w:r>
      <w:r>
        <w:rPr>
          <w:rFonts w:ascii="Arial" w:eastAsia="Times New Roman" w:hAnsi="Arial" w:cs="Arial"/>
          <w:bCs/>
          <w:sz w:val="24"/>
          <w:szCs w:val="24"/>
          <w:lang w:eastAsia="es-AR"/>
        </w:rPr>
        <w:t xml:space="preserve">úblicas ya que el tema seleccionado resulta tangencial o meramente instrumental al desarrollo de la práctica áulica, o 2- generar una instancia previa de reflexión sobre la cuestión de “género y diversidad” para luego tratar con el mismo nivel de análisis las cuestiones del </w:t>
      </w:r>
      <w:proofErr w:type="spellStart"/>
      <w:r>
        <w:rPr>
          <w:rFonts w:ascii="Arial" w:eastAsia="Times New Roman" w:hAnsi="Arial" w:cs="Arial"/>
          <w:bCs/>
          <w:sz w:val="24"/>
          <w:szCs w:val="24"/>
          <w:lang w:eastAsia="es-AR"/>
        </w:rPr>
        <w:t>curriculum</w:t>
      </w:r>
      <w:proofErr w:type="spellEnd"/>
      <w:r>
        <w:rPr>
          <w:rFonts w:ascii="Arial" w:eastAsia="Times New Roman" w:hAnsi="Arial" w:cs="Arial"/>
          <w:bCs/>
          <w:sz w:val="24"/>
          <w:szCs w:val="24"/>
          <w:lang w:eastAsia="es-AR"/>
        </w:rPr>
        <w:t>.</w:t>
      </w:r>
    </w:p>
    <w:p w:rsidR="00C536BD" w:rsidRDefault="00C536B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En tal sentido se procedió por la segunda, y  en la clase sincrónica</w:t>
      </w:r>
      <w:r w:rsidR="00837156">
        <w:rPr>
          <w:rFonts w:ascii="Arial" w:eastAsia="Times New Roman" w:hAnsi="Arial" w:cs="Arial"/>
          <w:bCs/>
          <w:sz w:val="24"/>
          <w:szCs w:val="24"/>
          <w:lang w:eastAsia="es-AR"/>
        </w:rPr>
        <w:t xml:space="preserve"> se preguntó a alumnos/las </w:t>
      </w:r>
      <w:r>
        <w:rPr>
          <w:rFonts w:ascii="Arial" w:eastAsia="Times New Roman" w:hAnsi="Arial" w:cs="Arial"/>
          <w:bCs/>
          <w:sz w:val="24"/>
          <w:szCs w:val="24"/>
          <w:lang w:eastAsia="es-AR"/>
        </w:rPr>
        <w:t xml:space="preserve">solicitando expresa exclusión de responder a la pregunta a los integrantes del  único grupo que trato el tema en forma más amplia, concretamente se preguntó: que entendían </w:t>
      </w:r>
      <w:r w:rsidR="00837156">
        <w:rPr>
          <w:rFonts w:ascii="Arial" w:eastAsia="Times New Roman" w:hAnsi="Arial" w:cs="Arial"/>
          <w:bCs/>
          <w:sz w:val="24"/>
          <w:szCs w:val="24"/>
          <w:lang w:eastAsia="es-AR"/>
        </w:rPr>
        <w:t xml:space="preserve">por </w:t>
      </w:r>
      <w:r>
        <w:rPr>
          <w:rFonts w:ascii="Arial" w:eastAsia="Times New Roman" w:hAnsi="Arial" w:cs="Arial"/>
          <w:bCs/>
          <w:sz w:val="24"/>
          <w:szCs w:val="24"/>
          <w:lang w:eastAsia="es-AR"/>
        </w:rPr>
        <w:t xml:space="preserve">“género y diversidad” a lo que todos los que intervinieron entendieron que efectivamente se trataba de genero binario mencionando: “mujer y hombre”, “el problema de las mujeres”, “las feministas” no con un sentido negativo ni peyorativo, sino </w:t>
      </w:r>
      <w:r w:rsidR="005456F0">
        <w:rPr>
          <w:rFonts w:ascii="Arial" w:eastAsia="Times New Roman" w:hAnsi="Arial" w:cs="Arial"/>
          <w:bCs/>
          <w:sz w:val="24"/>
          <w:szCs w:val="24"/>
          <w:lang w:eastAsia="es-AR"/>
        </w:rPr>
        <w:t xml:space="preserve">básicamente </w:t>
      </w:r>
      <w:r>
        <w:rPr>
          <w:rFonts w:ascii="Arial" w:eastAsia="Times New Roman" w:hAnsi="Arial" w:cs="Arial"/>
          <w:bCs/>
          <w:sz w:val="24"/>
          <w:szCs w:val="24"/>
          <w:lang w:eastAsia="es-AR"/>
        </w:rPr>
        <w:t>circunscripto simplemente a esas cuestiones.</w:t>
      </w:r>
    </w:p>
    <w:p w:rsidR="00C536BD" w:rsidRDefault="00C536BD" w:rsidP="000E597D">
      <w:pPr>
        <w:spacing w:after="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Por su parte cuando se les pregunto sobre las problemáticas que sus normas tributarias pretendían proteger</w:t>
      </w:r>
      <w:r w:rsidR="005456F0">
        <w:rPr>
          <w:rFonts w:ascii="Arial" w:eastAsia="Times New Roman" w:hAnsi="Arial" w:cs="Arial"/>
          <w:bCs/>
          <w:sz w:val="24"/>
          <w:szCs w:val="24"/>
          <w:lang w:eastAsia="es-AR"/>
        </w:rPr>
        <w:t xml:space="preserve"> mediante la creación de esa norma</w:t>
      </w:r>
      <w:r>
        <w:rPr>
          <w:rFonts w:ascii="Arial" w:eastAsia="Times New Roman" w:hAnsi="Arial" w:cs="Arial"/>
          <w:bCs/>
          <w:sz w:val="24"/>
          <w:szCs w:val="24"/>
          <w:lang w:eastAsia="es-AR"/>
        </w:rPr>
        <w:t>, todos sorpresivamente también respondieron “</w:t>
      </w:r>
      <w:r w:rsidR="005456F0">
        <w:rPr>
          <w:rFonts w:ascii="Arial" w:eastAsia="Times New Roman" w:hAnsi="Arial" w:cs="Arial"/>
          <w:bCs/>
          <w:sz w:val="24"/>
          <w:szCs w:val="24"/>
          <w:lang w:eastAsia="es-AR"/>
        </w:rPr>
        <w:t xml:space="preserve">erradicar </w:t>
      </w:r>
      <w:r>
        <w:rPr>
          <w:rFonts w:ascii="Arial" w:eastAsia="Times New Roman" w:hAnsi="Arial" w:cs="Arial"/>
          <w:bCs/>
          <w:sz w:val="24"/>
          <w:szCs w:val="24"/>
          <w:lang w:eastAsia="es-AR"/>
        </w:rPr>
        <w:t>la violencia” en general haciendo referencia a la física, sin lograr visualizar la diversidad de situaciones de desigualdad y vulnerabilidad de ese sector que hab</w:t>
      </w:r>
      <w:r w:rsidR="009E0EE6">
        <w:rPr>
          <w:rFonts w:ascii="Arial" w:eastAsia="Times New Roman" w:hAnsi="Arial" w:cs="Arial"/>
          <w:bCs/>
          <w:sz w:val="24"/>
          <w:szCs w:val="24"/>
          <w:lang w:eastAsia="es-AR"/>
        </w:rPr>
        <w:t xml:space="preserve">ían recortado para sus trabajos. </w:t>
      </w:r>
      <w:r>
        <w:rPr>
          <w:rFonts w:ascii="Arial" w:eastAsia="Times New Roman" w:hAnsi="Arial" w:cs="Arial"/>
          <w:bCs/>
          <w:sz w:val="24"/>
          <w:szCs w:val="24"/>
          <w:lang w:eastAsia="es-AR"/>
        </w:rPr>
        <w:t>Luego de ello y en forma conjunta se le dio intervención al grupo que se le había pedido no responder estas dos preguntas, y se les solicitó que expliquen su trabajo y fundamentación, con ello, el</w:t>
      </w:r>
      <w:r w:rsidR="00DF0957">
        <w:rPr>
          <w:rFonts w:ascii="Arial" w:eastAsia="Times New Roman" w:hAnsi="Arial" w:cs="Arial"/>
          <w:bCs/>
          <w:sz w:val="24"/>
          <w:szCs w:val="24"/>
          <w:lang w:eastAsia="es-AR"/>
        </w:rPr>
        <w:t>/la</w:t>
      </w:r>
      <w:r>
        <w:rPr>
          <w:rFonts w:ascii="Arial" w:eastAsia="Times New Roman" w:hAnsi="Arial" w:cs="Arial"/>
          <w:bCs/>
          <w:sz w:val="24"/>
          <w:szCs w:val="24"/>
          <w:lang w:eastAsia="es-AR"/>
        </w:rPr>
        <w:t xml:space="preserve"> docente trabajo para poder lograr una puesta en común vinculada a la definición y alcance de algo que había prejuzgado sabido, para recién luego atender al objeto primario de la actividad consistente en analizar contenidos financieros/tributarios.</w:t>
      </w:r>
    </w:p>
    <w:p w:rsidR="000E597D" w:rsidRDefault="006A063C" w:rsidP="000E597D">
      <w:pPr>
        <w:spacing w:after="0" w:line="360" w:lineRule="auto"/>
        <w:jc w:val="both"/>
        <w:rPr>
          <w:rFonts w:ascii="Arial" w:eastAsia="Times New Roman" w:hAnsi="Arial" w:cs="Arial"/>
          <w:b/>
          <w:bCs/>
          <w:sz w:val="24"/>
          <w:szCs w:val="24"/>
          <w:lang w:eastAsia="es-AR"/>
        </w:rPr>
      </w:pPr>
      <w:r>
        <w:rPr>
          <w:rFonts w:ascii="Arial" w:eastAsia="Times New Roman" w:hAnsi="Arial" w:cs="Arial"/>
          <w:b/>
          <w:bCs/>
          <w:sz w:val="24"/>
          <w:szCs w:val="24"/>
          <w:lang w:eastAsia="es-AR"/>
        </w:rPr>
        <w:lastRenderedPageBreak/>
        <w:t>2-</w:t>
      </w:r>
      <w:r w:rsidR="000E597D">
        <w:rPr>
          <w:rFonts w:ascii="Arial" w:eastAsia="Times New Roman" w:hAnsi="Arial" w:cs="Arial"/>
          <w:b/>
          <w:bCs/>
          <w:sz w:val="24"/>
          <w:szCs w:val="24"/>
          <w:lang w:eastAsia="es-AR"/>
        </w:rPr>
        <w:t>Experiencia “</w:t>
      </w:r>
      <w:r>
        <w:rPr>
          <w:rFonts w:ascii="Arial" w:eastAsia="Times New Roman" w:hAnsi="Arial" w:cs="Arial"/>
          <w:b/>
          <w:bCs/>
          <w:sz w:val="24"/>
          <w:szCs w:val="24"/>
          <w:lang w:eastAsia="es-AR"/>
        </w:rPr>
        <w:t>Análisis</w:t>
      </w:r>
      <w:r w:rsidR="000E597D">
        <w:rPr>
          <w:rFonts w:ascii="Arial" w:eastAsia="Times New Roman" w:hAnsi="Arial" w:cs="Arial"/>
          <w:b/>
          <w:bCs/>
          <w:sz w:val="24"/>
          <w:szCs w:val="24"/>
          <w:lang w:eastAsia="es-AR"/>
        </w:rPr>
        <w:t xml:space="preserve"> de texto normativo inventado que prevé </w:t>
      </w:r>
      <w:r w:rsidR="006B4913">
        <w:rPr>
          <w:rFonts w:ascii="Arial" w:eastAsia="Times New Roman" w:hAnsi="Arial" w:cs="Arial"/>
          <w:b/>
          <w:bCs/>
          <w:sz w:val="24"/>
          <w:szCs w:val="24"/>
          <w:lang w:eastAsia="es-AR"/>
        </w:rPr>
        <w:t>mitigar des</w:t>
      </w:r>
      <w:r w:rsidR="000E597D">
        <w:rPr>
          <w:rFonts w:ascii="Arial" w:eastAsia="Times New Roman" w:hAnsi="Arial" w:cs="Arial"/>
          <w:b/>
          <w:bCs/>
          <w:sz w:val="24"/>
          <w:szCs w:val="24"/>
          <w:lang w:eastAsia="es-AR"/>
        </w:rPr>
        <w:t>igualdad</w:t>
      </w:r>
      <w:r w:rsidR="006E5428">
        <w:rPr>
          <w:rFonts w:ascii="Arial" w:eastAsia="Times New Roman" w:hAnsi="Arial" w:cs="Arial"/>
          <w:b/>
          <w:bCs/>
          <w:sz w:val="24"/>
          <w:szCs w:val="24"/>
          <w:lang w:eastAsia="es-AR"/>
        </w:rPr>
        <w:t>es</w:t>
      </w:r>
      <w:r w:rsidR="000E597D">
        <w:rPr>
          <w:rFonts w:ascii="Arial" w:eastAsia="Times New Roman" w:hAnsi="Arial" w:cs="Arial"/>
          <w:b/>
          <w:bCs/>
          <w:sz w:val="24"/>
          <w:szCs w:val="24"/>
          <w:lang w:eastAsia="es-AR"/>
        </w:rPr>
        <w:t xml:space="preserve"> de </w:t>
      </w:r>
      <w:r w:rsidR="006B4913">
        <w:rPr>
          <w:rFonts w:ascii="Arial" w:eastAsia="Times New Roman" w:hAnsi="Arial" w:cs="Arial"/>
          <w:b/>
          <w:bCs/>
          <w:sz w:val="24"/>
          <w:szCs w:val="24"/>
          <w:lang w:eastAsia="es-AR"/>
        </w:rPr>
        <w:t>género</w:t>
      </w:r>
      <w:r w:rsidR="000E597D">
        <w:rPr>
          <w:rFonts w:ascii="Arial" w:eastAsia="Times New Roman" w:hAnsi="Arial" w:cs="Arial"/>
          <w:b/>
          <w:bCs/>
          <w:sz w:val="24"/>
          <w:szCs w:val="24"/>
          <w:lang w:eastAsia="es-AR"/>
        </w:rPr>
        <w:t xml:space="preserve"> y diversidad”</w:t>
      </w:r>
    </w:p>
    <w:p w:rsidR="00C76894" w:rsidRDefault="00C920E7" w:rsidP="00C76894">
      <w:pPr>
        <w:pStyle w:val="NormalWeb"/>
        <w:spacing w:before="0" w:beforeAutospacing="0" w:after="150" w:afterAutospacing="0" w:line="360" w:lineRule="auto"/>
        <w:jc w:val="both"/>
        <w:rPr>
          <w:rFonts w:ascii="Arial" w:hAnsi="Arial" w:cs="Arial"/>
        </w:rPr>
      </w:pPr>
      <w:r w:rsidRPr="00C920E7">
        <w:rPr>
          <w:rFonts w:ascii="Arial" w:hAnsi="Arial" w:cs="Arial"/>
          <w:bCs/>
        </w:rPr>
        <w:t>La segunda experiencia de realizó en 2021 con 8 grupos de 6 integrantes cada uno, solicitándose que analicen, critiquen y fundamenten</w:t>
      </w:r>
      <w:r>
        <w:rPr>
          <w:rFonts w:ascii="Arial" w:hAnsi="Arial" w:cs="Arial"/>
          <w:bCs/>
        </w:rPr>
        <w:t xml:space="preserve"> teniendo en cuenta la tributación </w:t>
      </w:r>
      <w:r w:rsidR="00C76894">
        <w:rPr>
          <w:rFonts w:ascii="Arial" w:hAnsi="Arial" w:cs="Arial"/>
          <w:bCs/>
        </w:rPr>
        <w:t xml:space="preserve">con perspectiva </w:t>
      </w:r>
      <w:r>
        <w:rPr>
          <w:rFonts w:ascii="Arial" w:hAnsi="Arial" w:cs="Arial"/>
          <w:bCs/>
        </w:rPr>
        <w:t xml:space="preserve">de género y diversidad, </w:t>
      </w:r>
      <w:r w:rsidRPr="00C920E7">
        <w:rPr>
          <w:rFonts w:ascii="Arial" w:hAnsi="Arial" w:cs="Arial"/>
          <w:bCs/>
        </w:rPr>
        <w:t>un texto tributario inventado por el</w:t>
      </w:r>
      <w:r w:rsidR="00DF0957">
        <w:rPr>
          <w:rFonts w:ascii="Arial" w:hAnsi="Arial" w:cs="Arial"/>
          <w:bCs/>
        </w:rPr>
        <w:t>/la</w:t>
      </w:r>
      <w:r w:rsidRPr="00C920E7">
        <w:rPr>
          <w:rFonts w:ascii="Arial" w:hAnsi="Arial" w:cs="Arial"/>
          <w:bCs/>
        </w:rPr>
        <w:t xml:space="preserve"> docente</w:t>
      </w:r>
      <w:r w:rsidRPr="00C920E7">
        <w:rPr>
          <w:rFonts w:ascii="Arial" w:hAnsi="Arial" w:cs="Arial"/>
        </w:rPr>
        <w:t xml:space="preserve">: Impuesto Automotor Código Fiscal T.O. 2011 y </w:t>
      </w:r>
      <w:proofErr w:type="spellStart"/>
      <w:r w:rsidRPr="00C920E7">
        <w:rPr>
          <w:rFonts w:ascii="Arial" w:hAnsi="Arial" w:cs="Arial"/>
        </w:rPr>
        <w:t>modif</w:t>
      </w:r>
      <w:proofErr w:type="spellEnd"/>
      <w:r w:rsidRPr="00C920E7">
        <w:rPr>
          <w:rFonts w:ascii="Arial" w:hAnsi="Arial" w:cs="Arial"/>
        </w:rPr>
        <w:t>.  articulo*** "...eximir del Impuesto Automotor a las mujeres titulares registrales de vehículo automotor cuya valuación fiscal no supere los 500.000 pesos"</w:t>
      </w:r>
      <w:r w:rsidR="00C76894">
        <w:rPr>
          <w:rFonts w:ascii="Arial" w:hAnsi="Arial" w:cs="Arial"/>
        </w:rPr>
        <w:t>.</w:t>
      </w:r>
      <w:r w:rsidR="00C76894" w:rsidRPr="00C76894">
        <w:rPr>
          <w:rFonts w:ascii="Arial" w:hAnsi="Arial" w:cs="Arial"/>
        </w:rPr>
        <w:t xml:space="preserve"> </w:t>
      </w:r>
      <w:r w:rsidR="00C76894">
        <w:rPr>
          <w:rFonts w:ascii="Arial" w:hAnsi="Arial" w:cs="Arial"/>
        </w:rPr>
        <w:t xml:space="preserve">La modalidad de elaboración consistía en la realización de un video de hasta 5 minutos como </w:t>
      </w:r>
      <w:proofErr w:type="spellStart"/>
      <w:r w:rsidR="00C76894">
        <w:rPr>
          <w:rFonts w:ascii="Arial" w:hAnsi="Arial" w:cs="Arial"/>
        </w:rPr>
        <w:t>Taxtubers</w:t>
      </w:r>
      <w:proofErr w:type="spellEnd"/>
      <w:r w:rsidR="00C76894">
        <w:rPr>
          <w:rFonts w:ascii="Arial" w:hAnsi="Arial" w:cs="Arial"/>
        </w:rPr>
        <w:t xml:space="preserve"> (</w:t>
      </w:r>
      <w:proofErr w:type="spellStart"/>
      <w:r w:rsidR="00C76894">
        <w:rPr>
          <w:rFonts w:ascii="Arial" w:hAnsi="Arial" w:cs="Arial"/>
        </w:rPr>
        <w:t>tax</w:t>
      </w:r>
      <w:proofErr w:type="spellEnd"/>
      <w:r w:rsidR="00C76894">
        <w:rPr>
          <w:rFonts w:ascii="Arial" w:hAnsi="Arial" w:cs="Arial"/>
        </w:rPr>
        <w:t xml:space="preserve">=tributos y </w:t>
      </w:r>
      <w:proofErr w:type="spellStart"/>
      <w:r w:rsidR="00C76894">
        <w:rPr>
          <w:rFonts w:ascii="Arial" w:hAnsi="Arial" w:cs="Arial"/>
        </w:rPr>
        <w:t>tubers</w:t>
      </w:r>
      <w:proofErr w:type="spellEnd"/>
      <w:r w:rsidR="00C76894">
        <w:rPr>
          <w:rFonts w:ascii="Arial" w:hAnsi="Arial" w:cs="Arial"/>
        </w:rPr>
        <w:t xml:space="preserve">= derivado de la aplicación </w:t>
      </w:r>
      <w:proofErr w:type="spellStart"/>
      <w:r w:rsidR="00C76894">
        <w:rPr>
          <w:rFonts w:ascii="Arial" w:hAnsi="Arial" w:cs="Arial"/>
        </w:rPr>
        <w:t>Youtube</w:t>
      </w:r>
      <w:proofErr w:type="spellEnd"/>
      <w:r w:rsidR="00C76894">
        <w:rPr>
          <w:rFonts w:ascii="Arial" w:hAnsi="Arial" w:cs="Arial"/>
        </w:rPr>
        <w:t>) en defensa fundamentada del análisis efectuado.</w:t>
      </w:r>
    </w:p>
    <w:p w:rsidR="00C920E7" w:rsidRDefault="00DF0957" w:rsidP="00C920E7">
      <w:pPr>
        <w:pStyle w:val="NormalWeb"/>
        <w:spacing w:before="0" w:beforeAutospacing="0" w:after="150" w:afterAutospacing="0" w:line="360" w:lineRule="auto"/>
        <w:jc w:val="both"/>
        <w:rPr>
          <w:rFonts w:ascii="Arial" w:hAnsi="Arial" w:cs="Arial"/>
        </w:rPr>
      </w:pPr>
      <w:r>
        <w:rPr>
          <w:rFonts w:ascii="Arial" w:hAnsi="Arial" w:cs="Arial"/>
        </w:rPr>
        <w:t xml:space="preserve">Objetivo </w:t>
      </w:r>
      <w:r w:rsidR="00C920E7">
        <w:rPr>
          <w:rFonts w:ascii="Arial" w:hAnsi="Arial" w:cs="Arial"/>
        </w:rPr>
        <w:t>era analizar el alcance de “género</w:t>
      </w:r>
      <w:r>
        <w:rPr>
          <w:rFonts w:ascii="Arial" w:hAnsi="Arial" w:cs="Arial"/>
        </w:rPr>
        <w:t xml:space="preserve"> y diversidad” generar</w:t>
      </w:r>
      <w:r w:rsidR="00C920E7">
        <w:rPr>
          <w:rFonts w:ascii="Arial" w:hAnsi="Arial" w:cs="Arial"/>
        </w:rPr>
        <w:t xml:space="preserve"> una actividad de investigación al respecto, para luego aplicar los contenidos del derecho tributario: como planificación de política tributaria, exen</w:t>
      </w:r>
      <w:r>
        <w:rPr>
          <w:rFonts w:ascii="Arial" w:hAnsi="Arial" w:cs="Arial"/>
        </w:rPr>
        <w:t xml:space="preserve">ciones subjetivas, objetivas y </w:t>
      </w:r>
      <w:r w:rsidR="00C920E7">
        <w:rPr>
          <w:rFonts w:ascii="Arial" w:hAnsi="Arial" w:cs="Arial"/>
        </w:rPr>
        <w:t xml:space="preserve">mixtas, fines fiscales y </w:t>
      </w:r>
      <w:proofErr w:type="spellStart"/>
      <w:r w:rsidR="00C920E7">
        <w:rPr>
          <w:rFonts w:ascii="Arial" w:hAnsi="Arial" w:cs="Arial"/>
        </w:rPr>
        <w:t>extrafiscales</w:t>
      </w:r>
      <w:proofErr w:type="spellEnd"/>
      <w:r w:rsidR="00C920E7">
        <w:rPr>
          <w:rFonts w:ascii="Arial" w:hAnsi="Arial" w:cs="Arial"/>
        </w:rPr>
        <w:t xml:space="preserve"> en diversas herramientas tributarias, principio de igualdad, generalidad, etc.</w:t>
      </w:r>
      <w:r w:rsidR="00837156">
        <w:rPr>
          <w:rFonts w:ascii="Arial" w:hAnsi="Arial" w:cs="Arial"/>
        </w:rPr>
        <w:t xml:space="preserve"> Entendiendo que podrían abordarse desde la única mención de “mujer” como sujeto contribuyente beneficiario sin abordar otros sujetos, la única variante de mujer “pobre” por el alcance del elemento objetivo de 500.000 pesos, el abordaje limitante de otras condiciones de vulnerabilidad, </w:t>
      </w:r>
      <w:r w:rsidR="00C76894">
        <w:rPr>
          <w:rFonts w:ascii="Arial" w:hAnsi="Arial" w:cs="Arial"/>
        </w:rPr>
        <w:t>etc.</w:t>
      </w:r>
      <w:r w:rsidR="00837156">
        <w:rPr>
          <w:rFonts w:ascii="Arial" w:hAnsi="Arial" w:cs="Arial"/>
        </w:rPr>
        <w:t xml:space="preserve">, de la norma tributaria, en </w:t>
      </w:r>
      <w:r w:rsidR="00C76894">
        <w:rPr>
          <w:rFonts w:ascii="Arial" w:hAnsi="Arial" w:cs="Arial"/>
        </w:rPr>
        <w:t>fin,</w:t>
      </w:r>
      <w:r w:rsidR="00837156">
        <w:rPr>
          <w:rFonts w:ascii="Arial" w:hAnsi="Arial" w:cs="Arial"/>
        </w:rPr>
        <w:t xml:space="preserve"> un universo de situaciones una descripción normativa ficta muy genérica que ningún grupo adelanto, logro visualizar.</w:t>
      </w:r>
    </w:p>
    <w:p w:rsidR="00D22948" w:rsidRDefault="00D22948" w:rsidP="00C920E7">
      <w:pPr>
        <w:pStyle w:val="NormalWeb"/>
        <w:spacing w:before="0" w:beforeAutospacing="0" w:after="150" w:afterAutospacing="0" w:line="360" w:lineRule="auto"/>
        <w:jc w:val="both"/>
        <w:rPr>
          <w:rFonts w:ascii="Arial" w:hAnsi="Arial" w:cs="Arial"/>
        </w:rPr>
      </w:pPr>
      <w:r>
        <w:rPr>
          <w:rFonts w:ascii="Arial" w:hAnsi="Arial" w:cs="Arial"/>
        </w:rPr>
        <w:t xml:space="preserve">La experiencia aquí demostró </w:t>
      </w:r>
      <w:r w:rsidR="00DF0957">
        <w:rPr>
          <w:rFonts w:ascii="Arial" w:hAnsi="Arial" w:cs="Arial"/>
        </w:rPr>
        <w:t>que,</w:t>
      </w:r>
      <w:r>
        <w:rPr>
          <w:rFonts w:ascii="Arial" w:hAnsi="Arial" w:cs="Arial"/>
        </w:rPr>
        <w:t xml:space="preserve"> de los 8 grupos, 7 entendieron y </w:t>
      </w:r>
      <w:r w:rsidR="006F6E22">
        <w:rPr>
          <w:rFonts w:ascii="Arial" w:hAnsi="Arial" w:cs="Arial"/>
        </w:rPr>
        <w:t>fundamentaron</w:t>
      </w:r>
      <w:r>
        <w:rPr>
          <w:rFonts w:ascii="Arial" w:hAnsi="Arial" w:cs="Arial"/>
        </w:rPr>
        <w:t xml:space="preserve"> que esta norma era discriminatoria para el </w:t>
      </w:r>
      <w:r w:rsidR="00837156">
        <w:rPr>
          <w:rFonts w:ascii="Arial" w:hAnsi="Arial" w:cs="Arial"/>
        </w:rPr>
        <w:t>“</w:t>
      </w:r>
      <w:r>
        <w:rPr>
          <w:rFonts w:ascii="Arial" w:hAnsi="Arial" w:cs="Arial"/>
        </w:rPr>
        <w:t>hombre</w:t>
      </w:r>
      <w:r w:rsidR="00837156">
        <w:rPr>
          <w:rFonts w:ascii="Arial" w:hAnsi="Arial" w:cs="Arial"/>
        </w:rPr>
        <w:t>”</w:t>
      </w:r>
      <w:r>
        <w:rPr>
          <w:rFonts w:ascii="Arial" w:hAnsi="Arial" w:cs="Arial"/>
        </w:rPr>
        <w:t xml:space="preserve">, aplicando el principio de igualdad y generalidad en su defensa. Ninguno de los grupos logro plasmar que si se generaban desigualdades era en </w:t>
      </w:r>
      <w:r w:rsidR="00E93450">
        <w:rPr>
          <w:rFonts w:ascii="Arial" w:hAnsi="Arial" w:cs="Arial"/>
        </w:rPr>
        <w:t>relación</w:t>
      </w:r>
      <w:r>
        <w:rPr>
          <w:rFonts w:ascii="Arial" w:hAnsi="Arial" w:cs="Arial"/>
        </w:rPr>
        <w:t xml:space="preserve"> a otras minorías o sectores vulnerables en la cuestión de </w:t>
      </w:r>
      <w:r w:rsidR="00E93450">
        <w:rPr>
          <w:rFonts w:ascii="Arial" w:hAnsi="Arial" w:cs="Arial"/>
        </w:rPr>
        <w:t>género</w:t>
      </w:r>
      <w:r>
        <w:rPr>
          <w:rFonts w:ascii="Arial" w:hAnsi="Arial" w:cs="Arial"/>
        </w:rPr>
        <w:t xml:space="preserve"> y diversidad, no logran tener un registro </w:t>
      </w:r>
      <w:r w:rsidR="00E93450">
        <w:rPr>
          <w:rFonts w:ascii="Arial" w:hAnsi="Arial" w:cs="Arial"/>
        </w:rPr>
        <w:t>consciente</w:t>
      </w:r>
      <w:r>
        <w:rPr>
          <w:rFonts w:ascii="Arial" w:hAnsi="Arial" w:cs="Arial"/>
        </w:rPr>
        <w:t xml:space="preserve"> de esas diversidades replicando un conce</w:t>
      </w:r>
      <w:r w:rsidR="00895EF8">
        <w:rPr>
          <w:rFonts w:ascii="Arial" w:hAnsi="Arial" w:cs="Arial"/>
        </w:rPr>
        <w:t>pto binario</w:t>
      </w:r>
      <w:r>
        <w:rPr>
          <w:rFonts w:ascii="Arial" w:hAnsi="Arial" w:cs="Arial"/>
        </w:rPr>
        <w:t>. Pero esto no termina aquí ya que un grupo entre esos 7, agrego a su fundamentación que esta norma configuraría un acto dis</w:t>
      </w:r>
      <w:r w:rsidR="009E0EE6">
        <w:rPr>
          <w:rFonts w:ascii="Arial" w:hAnsi="Arial" w:cs="Arial"/>
        </w:rPr>
        <w:t>criminatorio en el marco de la L</w:t>
      </w:r>
      <w:r>
        <w:rPr>
          <w:rFonts w:ascii="Arial" w:hAnsi="Arial" w:cs="Arial"/>
        </w:rPr>
        <w:t xml:space="preserve">ey 23592. Otro grupo de entre estos 7, </w:t>
      </w:r>
      <w:r w:rsidR="009E0EE6">
        <w:rPr>
          <w:rFonts w:ascii="Arial" w:hAnsi="Arial" w:cs="Arial"/>
        </w:rPr>
        <w:t>agregó</w:t>
      </w:r>
      <w:r>
        <w:rPr>
          <w:rFonts w:ascii="Arial" w:hAnsi="Arial" w:cs="Arial"/>
        </w:rPr>
        <w:t xml:space="preserve"> que esto puede generar “fraude a la ley” porque se iban a registrar todos los vehículos a nombre de esposas, </w:t>
      </w:r>
      <w:r>
        <w:rPr>
          <w:rFonts w:ascii="Arial" w:hAnsi="Arial" w:cs="Arial"/>
        </w:rPr>
        <w:lastRenderedPageBreak/>
        <w:t>hijas, hermanas. Por su parte fuera de esos 7 grupos 1 grupo se demostró claramente a favor de la norma sin dar mayores fundamentaciones.</w:t>
      </w:r>
    </w:p>
    <w:p w:rsidR="00D22948" w:rsidRDefault="00D22948" w:rsidP="00C920E7">
      <w:pPr>
        <w:pStyle w:val="NormalWeb"/>
        <w:spacing w:before="0" w:beforeAutospacing="0" w:after="150" w:afterAutospacing="0" w:line="360" w:lineRule="auto"/>
        <w:jc w:val="both"/>
        <w:rPr>
          <w:rFonts w:ascii="Arial" w:hAnsi="Arial" w:cs="Arial"/>
        </w:rPr>
      </w:pPr>
      <w:r>
        <w:rPr>
          <w:rFonts w:ascii="Arial" w:hAnsi="Arial" w:cs="Arial"/>
        </w:rPr>
        <w:t xml:space="preserve">Respecto a la identificación de causales de vulnerabilidad de la “mujer” </w:t>
      </w:r>
      <w:r w:rsidR="00855C0E">
        <w:rPr>
          <w:rFonts w:ascii="Arial" w:hAnsi="Arial" w:cs="Arial"/>
        </w:rPr>
        <w:t>8 de 8 sostuvieron que la causal que podría llegar a sustentar esta norma es la vinculada a “brecha salarial” y “Techo de cristal”, y 5 de 8 además agregaron sin mayores explicaciones “violencia de género”.</w:t>
      </w:r>
    </w:p>
    <w:p w:rsidR="00855C0E" w:rsidRDefault="00837156" w:rsidP="00C920E7">
      <w:pPr>
        <w:pStyle w:val="NormalWeb"/>
        <w:spacing w:before="0" w:beforeAutospacing="0" w:after="150" w:afterAutospacing="0" w:line="360" w:lineRule="auto"/>
        <w:jc w:val="both"/>
        <w:rPr>
          <w:rFonts w:ascii="Arial" w:hAnsi="Arial" w:cs="Arial"/>
        </w:rPr>
      </w:pPr>
      <w:r>
        <w:rPr>
          <w:rFonts w:ascii="Arial" w:hAnsi="Arial" w:cs="Arial"/>
        </w:rPr>
        <w:t>Se les solicito a los</w:t>
      </w:r>
      <w:r w:rsidR="00DF0957">
        <w:rPr>
          <w:rFonts w:ascii="Arial" w:hAnsi="Arial" w:cs="Arial"/>
        </w:rPr>
        <w:t>/las</w:t>
      </w:r>
      <w:r>
        <w:rPr>
          <w:rFonts w:ascii="Arial" w:hAnsi="Arial" w:cs="Arial"/>
        </w:rPr>
        <w:t xml:space="preserve"> alumnos/las </w:t>
      </w:r>
      <w:r w:rsidR="00855C0E">
        <w:rPr>
          <w:rFonts w:ascii="Arial" w:hAnsi="Arial" w:cs="Arial"/>
        </w:rPr>
        <w:t>que vieran los videos de los demás grupos y la devolución e intercambio que el docente generó en él, para así poder hacer una puesta en común en la clase sincrónica, en cuya oportunidad se les pregunto a los alumnos si podían identificar que significaba “tributación con perspectiva de género y diversidad”</w:t>
      </w:r>
      <w:r w:rsidR="00E12186">
        <w:rPr>
          <w:rFonts w:ascii="Arial" w:hAnsi="Arial" w:cs="Arial"/>
        </w:rPr>
        <w:t xml:space="preserve"> ante lo que sin dudar contestaron </w:t>
      </w:r>
      <w:r>
        <w:rPr>
          <w:rFonts w:ascii="Arial" w:hAnsi="Arial" w:cs="Arial"/>
        </w:rPr>
        <w:t xml:space="preserve">quienes quisieron intervenir, </w:t>
      </w:r>
      <w:r w:rsidR="00E12186">
        <w:rPr>
          <w:rFonts w:ascii="Arial" w:hAnsi="Arial" w:cs="Arial"/>
        </w:rPr>
        <w:t>haciendo referencia a las situaciones de violencia contra la mujer, luego de explicarles que el alcance era mucho más amplio los alumnos manifestaron que lo sabían pero no usaron para el abordaje pretendido. Luego de ello cuando se les consulto respecto de las</w:t>
      </w:r>
      <w:r w:rsidR="00855C0E">
        <w:rPr>
          <w:rFonts w:ascii="Arial" w:hAnsi="Arial" w:cs="Arial"/>
        </w:rPr>
        <w:t xml:space="preserve"> </w:t>
      </w:r>
      <w:r w:rsidR="00E12186">
        <w:rPr>
          <w:rFonts w:ascii="Arial" w:hAnsi="Arial" w:cs="Arial"/>
        </w:rPr>
        <w:t>cuales</w:t>
      </w:r>
      <w:r w:rsidR="00855C0E">
        <w:rPr>
          <w:rFonts w:ascii="Arial" w:hAnsi="Arial" w:cs="Arial"/>
        </w:rPr>
        <w:t xml:space="preserve"> eran las causales de vulnerabilidad y protección que podrían analizarse</w:t>
      </w:r>
      <w:r w:rsidR="00E12186">
        <w:rPr>
          <w:rFonts w:ascii="Arial" w:hAnsi="Arial" w:cs="Arial"/>
        </w:rPr>
        <w:t xml:space="preserve"> en el marco de género y diversidad, si bien entendían que era amplio no lograron realizar el análisis fuera de alguna norma laboral de cupo.</w:t>
      </w:r>
    </w:p>
    <w:p w:rsidR="00C23B18" w:rsidRDefault="00837156" w:rsidP="00C920E7">
      <w:pPr>
        <w:pStyle w:val="NormalWeb"/>
        <w:spacing w:before="0" w:beforeAutospacing="0" w:after="150" w:afterAutospacing="0" w:line="360" w:lineRule="auto"/>
        <w:jc w:val="both"/>
        <w:rPr>
          <w:rFonts w:ascii="Arial" w:hAnsi="Arial" w:cs="Arial"/>
        </w:rPr>
      </w:pPr>
      <w:r>
        <w:rPr>
          <w:rFonts w:ascii="Arial" w:hAnsi="Arial" w:cs="Arial"/>
        </w:rPr>
        <w:t xml:space="preserve">En </w:t>
      </w:r>
      <w:r w:rsidR="00C76894">
        <w:rPr>
          <w:rFonts w:ascii="Arial" w:hAnsi="Arial" w:cs="Arial"/>
        </w:rPr>
        <w:t xml:space="preserve">definitiva, en ambas experiencias </w:t>
      </w:r>
      <w:r>
        <w:rPr>
          <w:rFonts w:ascii="Arial" w:hAnsi="Arial" w:cs="Arial"/>
        </w:rPr>
        <w:t>parece que la cuestión de género y diversidad parece circunscribirse casi exclusivamente a una visión del “problema” entre el hombre y la mujer, y las cuestiones que generan esos problemas son en definitiva dos: casi mayoritariamente la violencia física del hombre contra la mujer, y en segundo lugar la desigualdad laboral desfavorable de las mujeres.</w:t>
      </w:r>
      <w:r w:rsidR="009E0EE6">
        <w:rPr>
          <w:rFonts w:ascii="Arial" w:hAnsi="Arial" w:cs="Arial"/>
        </w:rPr>
        <w:t xml:space="preserve"> </w:t>
      </w:r>
      <w:r w:rsidR="00C23B18">
        <w:rPr>
          <w:rFonts w:ascii="Arial" w:hAnsi="Arial" w:cs="Arial"/>
        </w:rPr>
        <w:t>Ante estos resultados sorprendentes al menos para quien escribe, debemos analizar por qué esta visión y que podemos hacer al respecto aun cuando estemos frente a materias que, en apariencia, nada tengan que ver con el tema.</w:t>
      </w:r>
    </w:p>
    <w:p w:rsidR="00D22948" w:rsidRDefault="00677F95" w:rsidP="00C920E7">
      <w:pPr>
        <w:pStyle w:val="NormalWeb"/>
        <w:spacing w:before="0" w:beforeAutospacing="0" w:after="150" w:afterAutospacing="0" w:line="360" w:lineRule="auto"/>
        <w:jc w:val="both"/>
        <w:rPr>
          <w:rFonts w:ascii="Arial" w:hAnsi="Arial" w:cs="Arial"/>
          <w:b/>
        </w:rPr>
      </w:pPr>
      <w:r w:rsidRPr="00677F95">
        <w:rPr>
          <w:rFonts w:ascii="Arial" w:hAnsi="Arial" w:cs="Arial"/>
          <w:b/>
        </w:rPr>
        <w:t>Causales posibles y soluciones posibles:</w:t>
      </w:r>
    </w:p>
    <w:p w:rsidR="00677F95" w:rsidRDefault="00C23B18" w:rsidP="00C920E7">
      <w:pPr>
        <w:pStyle w:val="NormalWeb"/>
        <w:spacing w:before="0" w:beforeAutospacing="0" w:after="150" w:afterAutospacing="0" w:line="360" w:lineRule="auto"/>
        <w:jc w:val="both"/>
        <w:rPr>
          <w:rFonts w:ascii="Arial" w:hAnsi="Arial" w:cs="Arial"/>
        </w:rPr>
      </w:pPr>
      <w:r>
        <w:rPr>
          <w:rFonts w:ascii="Arial" w:hAnsi="Arial" w:cs="Arial"/>
        </w:rPr>
        <w:t>Así, t</w:t>
      </w:r>
      <w:r w:rsidR="00677F95">
        <w:rPr>
          <w:rFonts w:ascii="Arial" w:hAnsi="Arial" w:cs="Arial"/>
        </w:rPr>
        <w:t xml:space="preserve">ratando de dar una explicación al resultado de las experiencias desarrolladas en los puntos precedentes puede deberse a diferentes motivos, tales como el error en el planteo de la </w:t>
      </w:r>
      <w:r w:rsidR="005A26B7">
        <w:rPr>
          <w:rFonts w:ascii="Arial" w:hAnsi="Arial" w:cs="Arial"/>
        </w:rPr>
        <w:t>consigna</w:t>
      </w:r>
      <w:r w:rsidR="00677F95">
        <w:rPr>
          <w:rFonts w:ascii="Arial" w:hAnsi="Arial" w:cs="Arial"/>
        </w:rPr>
        <w:t xml:space="preserve">: en ambas consignas se </w:t>
      </w:r>
      <w:r w:rsidR="005A26B7">
        <w:rPr>
          <w:rFonts w:ascii="Arial" w:hAnsi="Arial" w:cs="Arial"/>
        </w:rPr>
        <w:t>buscó</w:t>
      </w:r>
      <w:r w:rsidR="00677F95">
        <w:rPr>
          <w:rFonts w:ascii="Arial" w:hAnsi="Arial" w:cs="Arial"/>
        </w:rPr>
        <w:t xml:space="preserve"> dar amplia libertad de abordaje,</w:t>
      </w:r>
      <w:r w:rsidR="00E12186">
        <w:rPr>
          <w:rFonts w:ascii="Arial" w:hAnsi="Arial" w:cs="Arial"/>
        </w:rPr>
        <w:t xml:space="preserve"> haciendo </w:t>
      </w:r>
      <w:r w:rsidR="00E12186">
        <w:rPr>
          <w:rFonts w:ascii="Arial" w:hAnsi="Arial" w:cs="Arial"/>
        </w:rPr>
        <w:lastRenderedPageBreak/>
        <w:t>hincapié que los</w:t>
      </w:r>
      <w:r w:rsidR="00DF0957">
        <w:rPr>
          <w:rFonts w:ascii="Arial" w:hAnsi="Arial" w:cs="Arial"/>
        </w:rPr>
        <w:t>/las</w:t>
      </w:r>
      <w:r w:rsidR="00E12186">
        <w:rPr>
          <w:rFonts w:ascii="Arial" w:hAnsi="Arial" w:cs="Arial"/>
        </w:rPr>
        <w:t xml:space="preserve"> alumnos</w:t>
      </w:r>
      <w:r>
        <w:rPr>
          <w:rFonts w:ascii="Arial" w:hAnsi="Arial" w:cs="Arial"/>
        </w:rPr>
        <w:t>/las</w:t>
      </w:r>
      <w:r w:rsidR="00E12186">
        <w:rPr>
          <w:rFonts w:ascii="Arial" w:hAnsi="Arial" w:cs="Arial"/>
        </w:rPr>
        <w:t xml:space="preserve"> debían generar y abordar la mayoría de las situaciones imaginables posibles,</w:t>
      </w:r>
      <w:r w:rsidR="00677F95">
        <w:rPr>
          <w:rFonts w:ascii="Arial" w:hAnsi="Arial" w:cs="Arial"/>
        </w:rPr>
        <w:t xml:space="preserve"> reconociendo en la segunda </w:t>
      </w:r>
      <w:r w:rsidR="005A26B7">
        <w:rPr>
          <w:rFonts w:ascii="Arial" w:hAnsi="Arial" w:cs="Arial"/>
        </w:rPr>
        <w:t>actividad</w:t>
      </w:r>
      <w:r w:rsidR="00677F95">
        <w:rPr>
          <w:rFonts w:ascii="Arial" w:hAnsi="Arial" w:cs="Arial"/>
        </w:rPr>
        <w:t xml:space="preserve"> la deliberada intención de agregar la palabra “mujer” solo con el fin didáctico de generar análisis del </w:t>
      </w:r>
      <w:r w:rsidR="00A11FEF">
        <w:rPr>
          <w:rFonts w:ascii="Arial" w:hAnsi="Arial" w:cs="Arial"/>
        </w:rPr>
        <w:t>género</w:t>
      </w:r>
      <w:r w:rsidR="00677F95">
        <w:rPr>
          <w:rFonts w:ascii="Arial" w:hAnsi="Arial" w:cs="Arial"/>
        </w:rPr>
        <w:t xml:space="preserve"> y diversidad, </w:t>
      </w:r>
      <w:r>
        <w:rPr>
          <w:rFonts w:ascii="Arial" w:hAnsi="Arial" w:cs="Arial"/>
        </w:rPr>
        <w:t xml:space="preserve"> tratando de provocar indignación de la omisión de otras  situaciones acaecidas en comunidades LQBTQ+ y otras diversidades, </w:t>
      </w:r>
      <w:r w:rsidR="00677F95">
        <w:rPr>
          <w:rFonts w:ascii="Arial" w:hAnsi="Arial" w:cs="Arial"/>
        </w:rPr>
        <w:t xml:space="preserve">que </w:t>
      </w:r>
      <w:r w:rsidR="00A11FEF">
        <w:rPr>
          <w:rFonts w:ascii="Arial" w:hAnsi="Arial" w:cs="Arial"/>
        </w:rPr>
        <w:t>claramente</w:t>
      </w:r>
      <w:r w:rsidR="00677F95">
        <w:rPr>
          <w:rFonts w:ascii="Arial" w:hAnsi="Arial" w:cs="Arial"/>
        </w:rPr>
        <w:t xml:space="preserve"> no se vio logrado</w:t>
      </w:r>
      <w:r w:rsidR="00E12186">
        <w:rPr>
          <w:rFonts w:ascii="Arial" w:hAnsi="Arial" w:cs="Arial"/>
        </w:rPr>
        <w:t xml:space="preserve"> ya que solo los limito a una única mirada sobre el tema</w:t>
      </w:r>
      <w:r w:rsidR="005A26B7">
        <w:rPr>
          <w:rFonts w:ascii="Arial" w:hAnsi="Arial" w:cs="Arial"/>
        </w:rPr>
        <w:t xml:space="preserve">. </w:t>
      </w:r>
      <w:r w:rsidR="00677F95">
        <w:rPr>
          <w:rFonts w:ascii="Arial" w:hAnsi="Arial" w:cs="Arial"/>
        </w:rPr>
        <w:t xml:space="preserve">Se evitaron otorgar bibliografía, normas o cualquier otro sustento que otorgara una base </w:t>
      </w:r>
      <w:r w:rsidR="006A46A7">
        <w:rPr>
          <w:rFonts w:ascii="Arial" w:hAnsi="Arial" w:cs="Arial"/>
        </w:rPr>
        <w:t xml:space="preserve">argumental de la actividad, ello </w:t>
      </w:r>
      <w:r w:rsidR="00A11FEF">
        <w:rPr>
          <w:rFonts w:ascii="Arial" w:hAnsi="Arial" w:cs="Arial"/>
        </w:rPr>
        <w:t>así</w:t>
      </w:r>
      <w:r w:rsidR="006A46A7">
        <w:rPr>
          <w:rFonts w:ascii="Arial" w:hAnsi="Arial" w:cs="Arial"/>
        </w:rPr>
        <w:t xml:space="preserve"> a fin de lograr la generación de mayores situa</w:t>
      </w:r>
      <w:r w:rsidR="005A26B7">
        <w:rPr>
          <w:rFonts w:ascii="Arial" w:hAnsi="Arial" w:cs="Arial"/>
        </w:rPr>
        <w:t xml:space="preserve">ciones y </w:t>
      </w:r>
      <w:r w:rsidR="00A11FEF">
        <w:rPr>
          <w:rFonts w:ascii="Arial" w:hAnsi="Arial" w:cs="Arial"/>
        </w:rPr>
        <w:t>aptitud</w:t>
      </w:r>
      <w:r w:rsidR="005A26B7">
        <w:rPr>
          <w:rFonts w:ascii="Arial" w:hAnsi="Arial" w:cs="Arial"/>
        </w:rPr>
        <w:t xml:space="preserve"> de abordaje prá</w:t>
      </w:r>
      <w:r w:rsidR="006A46A7">
        <w:rPr>
          <w:rFonts w:ascii="Arial" w:hAnsi="Arial" w:cs="Arial"/>
        </w:rPr>
        <w:t>ctico.</w:t>
      </w:r>
    </w:p>
    <w:p w:rsidR="00C23B18" w:rsidRDefault="00C23B18" w:rsidP="00C920E7">
      <w:pPr>
        <w:pStyle w:val="NormalWeb"/>
        <w:spacing w:before="0" w:beforeAutospacing="0" w:after="150" w:afterAutospacing="0" w:line="360" w:lineRule="auto"/>
        <w:jc w:val="both"/>
        <w:rPr>
          <w:rFonts w:ascii="Arial" w:hAnsi="Arial" w:cs="Arial"/>
        </w:rPr>
      </w:pPr>
      <w:r>
        <w:rPr>
          <w:rFonts w:ascii="Arial" w:hAnsi="Arial" w:cs="Arial"/>
        </w:rPr>
        <w:t>Otra explicación que pu</w:t>
      </w:r>
      <w:r w:rsidR="00C76894">
        <w:rPr>
          <w:rFonts w:ascii="Arial" w:hAnsi="Arial" w:cs="Arial"/>
        </w:rPr>
        <w:t>e</w:t>
      </w:r>
      <w:r>
        <w:rPr>
          <w:rFonts w:ascii="Arial" w:hAnsi="Arial" w:cs="Arial"/>
        </w:rPr>
        <w:t xml:space="preserve">de abordarse es aquella a </w:t>
      </w:r>
      <w:r w:rsidR="00C76894">
        <w:rPr>
          <w:rFonts w:ascii="Arial" w:hAnsi="Arial" w:cs="Arial"/>
        </w:rPr>
        <w:t>la vinculada con la falta de prá</w:t>
      </w:r>
      <w:r>
        <w:rPr>
          <w:rFonts w:ascii="Arial" w:hAnsi="Arial" w:cs="Arial"/>
        </w:rPr>
        <w:t>ctica de análisis, estudio de caso y creación de contenidos académicos, puede ser si no hubieran logrado generar respuesta alguna en ambas experiencias, pero</w:t>
      </w:r>
      <w:r w:rsidR="00C76894">
        <w:rPr>
          <w:rFonts w:ascii="Arial" w:hAnsi="Arial" w:cs="Arial"/>
        </w:rPr>
        <w:t xml:space="preserve"> en ambas experiencias sí</w:t>
      </w:r>
      <w:r>
        <w:rPr>
          <w:rFonts w:ascii="Arial" w:hAnsi="Arial" w:cs="Arial"/>
        </w:rPr>
        <w:t xml:space="preserve"> lo hicieron, lo hicieron con una idea simplificada</w:t>
      </w:r>
      <w:r w:rsidR="00DF0957">
        <w:rPr>
          <w:rFonts w:ascii="Arial" w:hAnsi="Arial" w:cs="Arial"/>
        </w:rPr>
        <w:t xml:space="preserve"> o limitada</w:t>
      </w:r>
      <w:r>
        <w:rPr>
          <w:rFonts w:ascii="Arial" w:hAnsi="Arial" w:cs="Arial"/>
        </w:rPr>
        <w:t xml:space="preserve"> del planteo formulado.</w:t>
      </w:r>
    </w:p>
    <w:p w:rsidR="005A26B7" w:rsidRDefault="00C23B18" w:rsidP="00C920E7">
      <w:pPr>
        <w:pStyle w:val="NormalWeb"/>
        <w:spacing w:before="0" w:beforeAutospacing="0" w:after="150" w:afterAutospacing="0" w:line="360" w:lineRule="auto"/>
        <w:jc w:val="both"/>
        <w:rPr>
          <w:rFonts w:ascii="Arial" w:hAnsi="Arial" w:cs="Arial"/>
        </w:rPr>
      </w:pPr>
      <w:r>
        <w:rPr>
          <w:rFonts w:ascii="Arial" w:hAnsi="Arial" w:cs="Arial"/>
        </w:rPr>
        <w:t>Ahora bien, del a</w:t>
      </w:r>
      <w:r w:rsidR="005A26B7">
        <w:rPr>
          <w:rFonts w:ascii="Arial" w:hAnsi="Arial" w:cs="Arial"/>
        </w:rPr>
        <w:t>nálisis de la búsqueda</w:t>
      </w:r>
      <w:r w:rsidR="00C76894">
        <w:rPr>
          <w:rFonts w:ascii="Arial" w:hAnsi="Arial" w:cs="Arial"/>
        </w:rPr>
        <w:t xml:space="preserve"> web de alumnos/as</w:t>
      </w:r>
      <w:r w:rsidR="005A26B7">
        <w:rPr>
          <w:rFonts w:ascii="Arial" w:hAnsi="Arial" w:cs="Arial"/>
        </w:rPr>
        <w:t xml:space="preserve">: Unos de los problemas que puede generar el abordaje </w:t>
      </w:r>
      <w:r w:rsidR="00C76894">
        <w:rPr>
          <w:rFonts w:ascii="Arial" w:hAnsi="Arial" w:cs="Arial"/>
        </w:rPr>
        <w:t xml:space="preserve">parcializado </w:t>
      </w:r>
      <w:r w:rsidR="005A26B7">
        <w:rPr>
          <w:rFonts w:ascii="Arial" w:hAnsi="Arial" w:cs="Arial"/>
        </w:rPr>
        <w:t>reside en que los informes, doctrina, normas a las que se puede acceder</w:t>
      </w:r>
      <w:r w:rsidR="00C76894">
        <w:rPr>
          <w:rFonts w:ascii="Arial" w:hAnsi="Arial" w:cs="Arial"/>
        </w:rPr>
        <w:t>se en la web mediante una búsqueda rápida,</w:t>
      </w:r>
      <w:r w:rsidR="005A26B7">
        <w:rPr>
          <w:rFonts w:ascii="Arial" w:hAnsi="Arial" w:cs="Arial"/>
        </w:rPr>
        <w:t xml:space="preserve"> en general toman una percepción </w:t>
      </w:r>
      <w:r w:rsidR="008071F7">
        <w:rPr>
          <w:rFonts w:ascii="Arial" w:hAnsi="Arial" w:cs="Arial"/>
        </w:rPr>
        <w:t>género</w:t>
      </w:r>
      <w:r w:rsidR="005A26B7">
        <w:rPr>
          <w:rFonts w:ascii="Arial" w:hAnsi="Arial" w:cs="Arial"/>
        </w:rPr>
        <w:t xml:space="preserve"> en </w:t>
      </w:r>
      <w:r w:rsidR="008071F7">
        <w:rPr>
          <w:rFonts w:ascii="Arial" w:hAnsi="Arial" w:cs="Arial"/>
        </w:rPr>
        <w:t>relación</w:t>
      </w:r>
      <w:r w:rsidR="005A26B7">
        <w:rPr>
          <w:rFonts w:ascii="Arial" w:hAnsi="Arial" w:cs="Arial"/>
        </w:rPr>
        <w:t xml:space="preserve"> al sexo biológico, por ejemplo</w:t>
      </w:r>
      <w:r w:rsidR="00C76894">
        <w:rPr>
          <w:rFonts w:ascii="Arial" w:hAnsi="Arial" w:cs="Arial"/>
        </w:rPr>
        <w:t xml:space="preserve"> las Normas de Presupuesto de Gé</w:t>
      </w:r>
      <w:r w:rsidR="005A26B7">
        <w:rPr>
          <w:rFonts w:ascii="Arial" w:hAnsi="Arial" w:cs="Arial"/>
        </w:rPr>
        <w:t xml:space="preserve">nero que se han publicado a nivel </w:t>
      </w:r>
      <w:r w:rsidR="00A11FEF">
        <w:rPr>
          <w:rFonts w:ascii="Arial" w:hAnsi="Arial" w:cs="Arial"/>
        </w:rPr>
        <w:t>Nacional</w:t>
      </w:r>
      <w:r w:rsidR="005A26B7">
        <w:rPr>
          <w:rFonts w:ascii="Arial" w:hAnsi="Arial" w:cs="Arial"/>
        </w:rPr>
        <w:t xml:space="preserve"> o provincial, </w:t>
      </w:r>
      <w:r w:rsidR="00A11FEF">
        <w:rPr>
          <w:rFonts w:ascii="Arial" w:hAnsi="Arial" w:cs="Arial"/>
        </w:rPr>
        <w:t>residen</w:t>
      </w:r>
      <w:r w:rsidR="005A26B7">
        <w:rPr>
          <w:rFonts w:ascii="Arial" w:hAnsi="Arial" w:cs="Arial"/>
        </w:rPr>
        <w:t xml:space="preserve"> como fundamento en la percepción </w:t>
      </w:r>
      <w:r w:rsidR="00A11FEF">
        <w:rPr>
          <w:rFonts w:ascii="Arial" w:hAnsi="Arial" w:cs="Arial"/>
        </w:rPr>
        <w:t>binaria de género</w:t>
      </w:r>
      <w:r w:rsidR="005A26B7">
        <w:rPr>
          <w:rFonts w:ascii="Arial" w:hAnsi="Arial" w:cs="Arial"/>
        </w:rPr>
        <w:t xml:space="preserve"> hombre y mujer entendiendo a la mujer casi únicamente como </w:t>
      </w:r>
      <w:r w:rsidR="008071F7">
        <w:rPr>
          <w:rFonts w:ascii="Arial" w:hAnsi="Arial" w:cs="Arial"/>
        </w:rPr>
        <w:t>víctima</w:t>
      </w:r>
      <w:r w:rsidR="005A26B7">
        <w:rPr>
          <w:rFonts w:ascii="Arial" w:hAnsi="Arial" w:cs="Arial"/>
        </w:rPr>
        <w:t xml:space="preserve"> de violencia de genero. </w:t>
      </w:r>
      <w:r w:rsidR="009E2C36">
        <w:rPr>
          <w:rFonts w:ascii="Arial" w:hAnsi="Arial" w:cs="Arial"/>
        </w:rPr>
        <w:t xml:space="preserve">Esto es que mediante las </w:t>
      </w:r>
      <w:proofErr w:type="spellStart"/>
      <w:r w:rsidR="009E2C36">
        <w:rPr>
          <w:rFonts w:ascii="Arial" w:hAnsi="Arial" w:cs="Arial"/>
        </w:rPr>
        <w:t>TICs</w:t>
      </w:r>
      <w:proofErr w:type="spellEnd"/>
      <w:r w:rsidR="009E2C36">
        <w:rPr>
          <w:rFonts w:ascii="Arial" w:hAnsi="Arial" w:cs="Arial"/>
        </w:rPr>
        <w:t xml:space="preserve"> no surge rápidamente y de manera accesible material del cual pueda analizarse</w:t>
      </w:r>
      <w:r w:rsidR="00544948">
        <w:rPr>
          <w:rFonts w:ascii="Arial" w:hAnsi="Arial" w:cs="Arial"/>
        </w:rPr>
        <w:t>, sumado a ello que t</w:t>
      </w:r>
      <w:r w:rsidR="009E2C36">
        <w:rPr>
          <w:rFonts w:ascii="Arial" w:hAnsi="Arial" w:cs="Arial"/>
        </w:rPr>
        <w:t>ampoco hay asignado en el programa de la materia bibliografía que refleje</w:t>
      </w:r>
      <w:r w:rsidR="00544948">
        <w:rPr>
          <w:rFonts w:ascii="Arial" w:hAnsi="Arial" w:cs="Arial"/>
        </w:rPr>
        <w:t xml:space="preserve"> el tema</w:t>
      </w:r>
      <w:r w:rsidR="003E7859">
        <w:rPr>
          <w:rFonts w:ascii="Arial" w:hAnsi="Arial" w:cs="Arial"/>
        </w:rPr>
        <w:t xml:space="preserve">. Sin dejar de mencionar que en los medios de comunicación la referencia general sobre el tema </w:t>
      </w:r>
      <w:r w:rsidR="008071F7">
        <w:rPr>
          <w:rFonts w:ascii="Arial" w:hAnsi="Arial" w:cs="Arial"/>
        </w:rPr>
        <w:t>recae</w:t>
      </w:r>
      <w:r w:rsidR="003E7859">
        <w:rPr>
          <w:rFonts w:ascii="Arial" w:hAnsi="Arial" w:cs="Arial"/>
        </w:rPr>
        <w:t xml:space="preserve"> en el </w:t>
      </w:r>
      <w:r w:rsidR="008071F7">
        <w:rPr>
          <w:rFonts w:ascii="Arial" w:hAnsi="Arial" w:cs="Arial"/>
        </w:rPr>
        <w:t>género</w:t>
      </w:r>
      <w:r w:rsidR="003E7859">
        <w:rPr>
          <w:rFonts w:ascii="Arial" w:hAnsi="Arial" w:cs="Arial"/>
        </w:rPr>
        <w:t xml:space="preserve"> sexo biológico “mujer”.</w:t>
      </w:r>
    </w:p>
    <w:p w:rsidR="003E7859" w:rsidRDefault="00C23B18" w:rsidP="00C920E7">
      <w:pPr>
        <w:pStyle w:val="NormalWeb"/>
        <w:spacing w:before="0" w:beforeAutospacing="0" w:after="150" w:afterAutospacing="0" w:line="360" w:lineRule="auto"/>
        <w:jc w:val="both"/>
        <w:rPr>
          <w:rFonts w:ascii="Arial" w:hAnsi="Arial" w:cs="Arial"/>
        </w:rPr>
      </w:pPr>
      <w:r>
        <w:rPr>
          <w:rFonts w:ascii="Arial" w:hAnsi="Arial" w:cs="Arial"/>
        </w:rPr>
        <w:t>En este orden de ideas, l</w:t>
      </w:r>
      <w:r w:rsidR="003E7859">
        <w:rPr>
          <w:rFonts w:ascii="Arial" w:hAnsi="Arial" w:cs="Arial"/>
        </w:rPr>
        <w:t xml:space="preserve">a </w:t>
      </w:r>
      <w:r w:rsidR="008071F7">
        <w:rPr>
          <w:rFonts w:ascii="Arial" w:hAnsi="Arial" w:cs="Arial"/>
        </w:rPr>
        <w:t>última</w:t>
      </w:r>
      <w:r w:rsidR="003E7859">
        <w:rPr>
          <w:rFonts w:ascii="Arial" w:hAnsi="Arial" w:cs="Arial"/>
        </w:rPr>
        <w:t xml:space="preserve"> variable causal de tal respuesta tiene que ver con la carencia de un debido y profundizado tratamiento en el ámbito académico en materias previas, </w:t>
      </w:r>
      <w:r w:rsidR="00A11FEF">
        <w:rPr>
          <w:rFonts w:ascii="Arial" w:hAnsi="Arial" w:cs="Arial"/>
        </w:rPr>
        <w:t xml:space="preserve">la </w:t>
      </w:r>
      <w:r w:rsidR="008071F7">
        <w:rPr>
          <w:rFonts w:ascii="Arial" w:hAnsi="Arial" w:cs="Arial"/>
        </w:rPr>
        <w:t>escasez</w:t>
      </w:r>
      <w:r w:rsidR="00A11FEF">
        <w:rPr>
          <w:rFonts w:ascii="Arial" w:hAnsi="Arial" w:cs="Arial"/>
        </w:rPr>
        <w:t xml:space="preserve"> de un abordaje apropiado integral y profundizado puede ser una de las </w:t>
      </w:r>
      <w:r w:rsidR="008071F7">
        <w:rPr>
          <w:rFonts w:ascii="Arial" w:hAnsi="Arial" w:cs="Arial"/>
        </w:rPr>
        <w:t>variables</w:t>
      </w:r>
      <w:r w:rsidR="00A11FEF">
        <w:rPr>
          <w:rFonts w:ascii="Arial" w:hAnsi="Arial" w:cs="Arial"/>
        </w:rPr>
        <w:t xml:space="preserve"> de base, puede agregarse</w:t>
      </w:r>
      <w:r>
        <w:rPr>
          <w:rFonts w:ascii="Arial" w:hAnsi="Arial" w:cs="Arial"/>
        </w:rPr>
        <w:t xml:space="preserve"> qu</w:t>
      </w:r>
      <w:r w:rsidR="00A11FEF">
        <w:rPr>
          <w:rFonts w:ascii="Arial" w:hAnsi="Arial" w:cs="Arial"/>
        </w:rPr>
        <w:t>e</w:t>
      </w:r>
      <w:r w:rsidR="003E7859">
        <w:rPr>
          <w:rFonts w:ascii="Arial" w:hAnsi="Arial" w:cs="Arial"/>
        </w:rPr>
        <w:t xml:space="preserve"> muchos docentes entendieron el tema de </w:t>
      </w:r>
      <w:r w:rsidR="008071F7">
        <w:rPr>
          <w:rFonts w:ascii="Arial" w:hAnsi="Arial" w:cs="Arial"/>
        </w:rPr>
        <w:t>género</w:t>
      </w:r>
      <w:r w:rsidR="003E7859">
        <w:rPr>
          <w:rFonts w:ascii="Arial" w:hAnsi="Arial" w:cs="Arial"/>
        </w:rPr>
        <w:t xml:space="preserve"> y diversidad como sabido, y no fue profundamente abordado en</w:t>
      </w:r>
      <w:r w:rsidR="00A11FEF">
        <w:rPr>
          <w:rFonts w:ascii="Arial" w:hAnsi="Arial" w:cs="Arial"/>
        </w:rPr>
        <w:t xml:space="preserve"> el recorrido de </w:t>
      </w:r>
      <w:r w:rsidR="008071F7">
        <w:rPr>
          <w:rFonts w:ascii="Arial" w:hAnsi="Arial" w:cs="Arial"/>
        </w:rPr>
        <w:lastRenderedPageBreak/>
        <w:t>formación</w:t>
      </w:r>
      <w:r w:rsidR="00A11FEF">
        <w:rPr>
          <w:rFonts w:ascii="Arial" w:hAnsi="Arial" w:cs="Arial"/>
        </w:rPr>
        <w:t xml:space="preserve"> de</w:t>
      </w:r>
      <w:r w:rsidR="00DF0957">
        <w:rPr>
          <w:rFonts w:ascii="Arial" w:hAnsi="Arial" w:cs="Arial"/>
        </w:rPr>
        <w:t>l futuro profesional</w:t>
      </w:r>
      <w:r w:rsidR="003E7859">
        <w:rPr>
          <w:rFonts w:ascii="Arial" w:hAnsi="Arial" w:cs="Arial"/>
        </w:rPr>
        <w:t xml:space="preserve">, </w:t>
      </w:r>
      <w:r w:rsidR="00A11FEF">
        <w:rPr>
          <w:rFonts w:ascii="Arial" w:hAnsi="Arial" w:cs="Arial"/>
        </w:rPr>
        <w:t>lo que hace v</w:t>
      </w:r>
      <w:r w:rsidR="003E7859">
        <w:rPr>
          <w:rFonts w:ascii="Arial" w:hAnsi="Arial" w:cs="Arial"/>
        </w:rPr>
        <w:t>isualizar</w:t>
      </w:r>
      <w:r w:rsidR="00DF0957">
        <w:rPr>
          <w:rFonts w:ascii="Arial" w:hAnsi="Arial" w:cs="Arial"/>
        </w:rPr>
        <w:t xml:space="preserve"> la</w:t>
      </w:r>
      <w:r w:rsidR="00A11FEF">
        <w:rPr>
          <w:rFonts w:ascii="Arial" w:hAnsi="Arial" w:cs="Arial"/>
        </w:rPr>
        <w:t xml:space="preserve"> evidente dificultad</w:t>
      </w:r>
      <w:r w:rsidR="003E7859">
        <w:rPr>
          <w:rFonts w:ascii="Arial" w:hAnsi="Arial" w:cs="Arial"/>
        </w:rPr>
        <w:t xml:space="preserve"> el alcance integral del tema ni las problemáticas de vulnerabilidad que se generan aplicado a un área del Derecho </w:t>
      </w:r>
      <w:r w:rsidR="00A11FEF">
        <w:rPr>
          <w:rFonts w:ascii="Arial" w:hAnsi="Arial" w:cs="Arial"/>
        </w:rPr>
        <w:t>Público</w:t>
      </w:r>
      <w:r w:rsidR="003E7859">
        <w:rPr>
          <w:rFonts w:ascii="Arial" w:hAnsi="Arial" w:cs="Arial"/>
        </w:rPr>
        <w:t xml:space="preserve"> como son las Finanzas </w:t>
      </w:r>
      <w:r w:rsidR="00DF0957">
        <w:rPr>
          <w:rFonts w:ascii="Arial" w:hAnsi="Arial" w:cs="Arial"/>
        </w:rPr>
        <w:t>Públicas</w:t>
      </w:r>
      <w:r w:rsidR="003E7859">
        <w:rPr>
          <w:rFonts w:ascii="Arial" w:hAnsi="Arial" w:cs="Arial"/>
        </w:rPr>
        <w:t xml:space="preserve"> y el Derecho Financiero.</w:t>
      </w:r>
    </w:p>
    <w:p w:rsidR="003E7859" w:rsidRDefault="003E7859" w:rsidP="00C920E7">
      <w:pPr>
        <w:pStyle w:val="NormalWeb"/>
        <w:spacing w:before="0" w:beforeAutospacing="0" w:after="150" w:afterAutospacing="0" w:line="360" w:lineRule="auto"/>
        <w:jc w:val="both"/>
        <w:rPr>
          <w:rFonts w:ascii="Arial" w:hAnsi="Arial" w:cs="Arial"/>
        </w:rPr>
      </w:pPr>
      <w:r>
        <w:rPr>
          <w:rFonts w:ascii="Arial" w:hAnsi="Arial" w:cs="Arial"/>
        </w:rPr>
        <w:t xml:space="preserve">Que se puede hacer? </w:t>
      </w:r>
      <w:r w:rsidR="00243E8A">
        <w:rPr>
          <w:rFonts w:ascii="Arial" w:hAnsi="Arial" w:cs="Arial"/>
        </w:rPr>
        <w:t xml:space="preserve">Varias son las acciones que pueden tomarse para abordar  la problemática, aquí se mencionaran algunas de las más relevantes, </w:t>
      </w:r>
      <w:r>
        <w:rPr>
          <w:rFonts w:ascii="Arial" w:hAnsi="Arial" w:cs="Arial"/>
        </w:rPr>
        <w:t xml:space="preserve"> principalmente debe entenderse que el</w:t>
      </w:r>
      <w:r w:rsidR="00DF0957">
        <w:rPr>
          <w:rFonts w:ascii="Arial" w:hAnsi="Arial" w:cs="Arial"/>
        </w:rPr>
        <w:t>/la</w:t>
      </w:r>
      <w:r>
        <w:rPr>
          <w:rFonts w:ascii="Arial" w:hAnsi="Arial" w:cs="Arial"/>
        </w:rPr>
        <w:t xml:space="preserve"> docente no debe generar y entender temas como “ya sabidos” menos en temáticas de abordaje que involucra situaciones de desventaja, vulnerabilidad y violación de Derechos Humanos</w:t>
      </w:r>
      <w:r w:rsidR="00DF0957">
        <w:rPr>
          <w:rFonts w:ascii="Arial" w:hAnsi="Arial" w:cs="Arial"/>
        </w:rPr>
        <w:t>/ Sociales</w:t>
      </w:r>
      <w:r>
        <w:rPr>
          <w:rFonts w:ascii="Arial" w:hAnsi="Arial" w:cs="Arial"/>
        </w:rPr>
        <w:t>, aun cuando se trate de materias tan distintas a las que posiblemente puedan incluirla dentro de sus contenidos, entendiendo que hay temáticas trans</w:t>
      </w:r>
      <w:r w:rsidR="00DF0957">
        <w:rPr>
          <w:rFonts w:ascii="Arial" w:hAnsi="Arial" w:cs="Arial"/>
        </w:rPr>
        <w:t>versales a todas las áreas del D</w:t>
      </w:r>
      <w:r>
        <w:rPr>
          <w:rFonts w:ascii="Arial" w:hAnsi="Arial" w:cs="Arial"/>
        </w:rPr>
        <w:t>erecho.</w:t>
      </w:r>
    </w:p>
    <w:p w:rsidR="00A11FEF" w:rsidRDefault="00A11FEF" w:rsidP="00C920E7">
      <w:pPr>
        <w:pStyle w:val="NormalWeb"/>
        <w:spacing w:before="0" w:beforeAutospacing="0" w:after="150" w:afterAutospacing="0" w:line="360" w:lineRule="auto"/>
        <w:jc w:val="both"/>
        <w:rPr>
          <w:rFonts w:ascii="Arial" w:hAnsi="Arial" w:cs="Arial"/>
        </w:rPr>
      </w:pPr>
      <w:r>
        <w:rPr>
          <w:rFonts w:ascii="Arial" w:hAnsi="Arial" w:cs="Arial"/>
        </w:rPr>
        <w:t>Los</w:t>
      </w:r>
      <w:r w:rsidR="00DF0957">
        <w:rPr>
          <w:rFonts w:ascii="Arial" w:hAnsi="Arial" w:cs="Arial"/>
        </w:rPr>
        <w:t>/las</w:t>
      </w:r>
      <w:r>
        <w:rPr>
          <w:rFonts w:ascii="Arial" w:hAnsi="Arial" w:cs="Arial"/>
        </w:rPr>
        <w:t xml:space="preserve"> docentes </w:t>
      </w:r>
      <w:r w:rsidR="008071F7">
        <w:rPr>
          <w:rFonts w:ascii="Arial" w:hAnsi="Arial" w:cs="Arial"/>
        </w:rPr>
        <w:t>deben,</w:t>
      </w:r>
      <w:r>
        <w:rPr>
          <w:rFonts w:ascii="Arial" w:hAnsi="Arial" w:cs="Arial"/>
        </w:rPr>
        <w:t xml:space="preserve"> además</w:t>
      </w:r>
      <w:r w:rsidR="00DF0957">
        <w:rPr>
          <w:rFonts w:ascii="Arial" w:hAnsi="Arial" w:cs="Arial"/>
        </w:rPr>
        <w:t xml:space="preserve"> generar</w:t>
      </w:r>
      <w:r>
        <w:rPr>
          <w:rFonts w:ascii="Arial" w:hAnsi="Arial" w:cs="Arial"/>
        </w:rPr>
        <w:t xml:space="preserve"> una mirada integral del derecho y no segmentada</w:t>
      </w:r>
      <w:r w:rsidR="009E0EE6">
        <w:rPr>
          <w:rFonts w:ascii="Arial" w:hAnsi="Arial" w:cs="Arial"/>
        </w:rPr>
        <w:t xml:space="preserve"> al área de su especialización o materia</w:t>
      </w:r>
      <w:r>
        <w:rPr>
          <w:rFonts w:ascii="Arial" w:hAnsi="Arial" w:cs="Arial"/>
        </w:rPr>
        <w:t>,</w:t>
      </w:r>
      <w:r w:rsidR="009E0EE6">
        <w:rPr>
          <w:rFonts w:ascii="Arial" w:hAnsi="Arial" w:cs="Arial"/>
        </w:rPr>
        <w:t xml:space="preserve"> posibilitando el abordaje del tema incluso</w:t>
      </w:r>
      <w:r>
        <w:rPr>
          <w:rFonts w:ascii="Arial" w:hAnsi="Arial" w:cs="Arial"/>
        </w:rPr>
        <w:t xml:space="preserve"> en materias que aparentemente se </w:t>
      </w:r>
      <w:r w:rsidR="00544948">
        <w:rPr>
          <w:rFonts w:ascii="Arial" w:hAnsi="Arial" w:cs="Arial"/>
        </w:rPr>
        <w:t>presentan</w:t>
      </w:r>
      <w:r>
        <w:rPr>
          <w:rFonts w:ascii="Arial" w:hAnsi="Arial" w:cs="Arial"/>
        </w:rPr>
        <w:t xml:space="preserve"> tan alejadas a la cuestión de </w:t>
      </w:r>
      <w:r w:rsidR="00544948">
        <w:rPr>
          <w:rFonts w:ascii="Arial" w:hAnsi="Arial" w:cs="Arial"/>
        </w:rPr>
        <w:t>género</w:t>
      </w:r>
      <w:r>
        <w:rPr>
          <w:rFonts w:ascii="Arial" w:hAnsi="Arial" w:cs="Arial"/>
        </w:rPr>
        <w:t xml:space="preserve"> y diversidad, como la de las Finanzas </w:t>
      </w:r>
      <w:r w:rsidR="009E0EE6">
        <w:rPr>
          <w:rFonts w:ascii="Arial" w:hAnsi="Arial" w:cs="Arial"/>
        </w:rPr>
        <w:t>Públicas</w:t>
      </w:r>
      <w:r>
        <w:rPr>
          <w:rFonts w:ascii="Arial" w:hAnsi="Arial" w:cs="Arial"/>
        </w:rPr>
        <w:t xml:space="preserve"> resulta de vital importancia a la hora de acompañar el trayecto de </w:t>
      </w:r>
      <w:r w:rsidR="00544948">
        <w:rPr>
          <w:rFonts w:ascii="Arial" w:hAnsi="Arial" w:cs="Arial"/>
        </w:rPr>
        <w:t>formación</w:t>
      </w:r>
      <w:r>
        <w:rPr>
          <w:rFonts w:ascii="Arial" w:hAnsi="Arial" w:cs="Arial"/>
        </w:rPr>
        <w:t xml:space="preserve"> de los futuros profesionales</w:t>
      </w:r>
      <w:r w:rsidR="009E0EE6">
        <w:rPr>
          <w:rFonts w:ascii="Arial" w:hAnsi="Arial" w:cs="Arial"/>
        </w:rPr>
        <w:t xml:space="preserve"> y debería ser incorporado como un posible proyecto de elaboración Institucional</w:t>
      </w:r>
      <w:r>
        <w:rPr>
          <w:rFonts w:ascii="Arial" w:hAnsi="Arial" w:cs="Arial"/>
        </w:rPr>
        <w:t>.</w:t>
      </w:r>
    </w:p>
    <w:p w:rsidR="00E12186" w:rsidRDefault="009E0EE6" w:rsidP="00C920E7">
      <w:pPr>
        <w:pStyle w:val="NormalWeb"/>
        <w:spacing w:before="0" w:beforeAutospacing="0" w:after="150" w:afterAutospacing="0" w:line="360" w:lineRule="auto"/>
        <w:jc w:val="both"/>
        <w:rPr>
          <w:rFonts w:ascii="Arial" w:hAnsi="Arial" w:cs="Arial"/>
        </w:rPr>
      </w:pPr>
      <w:r>
        <w:rPr>
          <w:rFonts w:ascii="Arial" w:hAnsi="Arial" w:cs="Arial"/>
        </w:rPr>
        <w:t>Bajo este orden de ideas debe referenciarse que h</w:t>
      </w:r>
      <w:r w:rsidR="00A11FEF">
        <w:rPr>
          <w:rFonts w:ascii="Arial" w:hAnsi="Arial" w:cs="Arial"/>
        </w:rPr>
        <w:t xml:space="preserve">ay temas transversales a todas las áreas del Derecho, y el proyecto Institucional </w:t>
      </w:r>
      <w:r w:rsidR="00E12186">
        <w:rPr>
          <w:rFonts w:ascii="Arial" w:hAnsi="Arial" w:cs="Arial"/>
        </w:rPr>
        <w:t xml:space="preserve">de la Facultad </w:t>
      </w:r>
      <w:r w:rsidR="00A11FEF">
        <w:rPr>
          <w:rFonts w:ascii="Arial" w:hAnsi="Arial" w:cs="Arial"/>
        </w:rPr>
        <w:t xml:space="preserve">debe y puede ir indicando </w:t>
      </w:r>
      <w:r w:rsidR="00E12186">
        <w:rPr>
          <w:rFonts w:ascii="Arial" w:hAnsi="Arial" w:cs="Arial"/>
        </w:rPr>
        <w:t xml:space="preserve">periódicamente cuales son los proyectos que por su coyuntura, circunstancias o importancia local, nacional o internacional deban y puedan ser abordados </w:t>
      </w:r>
      <w:r w:rsidR="008071F7">
        <w:rPr>
          <w:rFonts w:ascii="Arial" w:hAnsi="Arial" w:cs="Arial"/>
        </w:rPr>
        <w:t>respetando</w:t>
      </w:r>
      <w:r w:rsidR="00E12186">
        <w:rPr>
          <w:rFonts w:ascii="Arial" w:hAnsi="Arial" w:cs="Arial"/>
        </w:rPr>
        <w:t xml:space="preserve"> la libertad de catedra, y generando </w:t>
      </w:r>
      <w:r w:rsidR="008071F7">
        <w:rPr>
          <w:rFonts w:ascii="Arial" w:hAnsi="Arial" w:cs="Arial"/>
        </w:rPr>
        <w:t>públicamente</w:t>
      </w:r>
      <w:r w:rsidR="00E12186">
        <w:rPr>
          <w:rFonts w:ascii="Arial" w:hAnsi="Arial" w:cs="Arial"/>
        </w:rPr>
        <w:t xml:space="preserve"> espacios de estudio y análisis científico.</w:t>
      </w:r>
    </w:p>
    <w:p w:rsidR="009E0EE6" w:rsidRDefault="009E0EE6" w:rsidP="009E0EE6">
      <w:pPr>
        <w:pStyle w:val="NormalWeb"/>
        <w:spacing w:before="0" w:beforeAutospacing="0" w:after="150" w:afterAutospacing="0" w:line="360" w:lineRule="auto"/>
        <w:jc w:val="both"/>
        <w:rPr>
          <w:rFonts w:ascii="Arial" w:hAnsi="Arial" w:cs="Arial"/>
          <w:b/>
        </w:rPr>
      </w:pPr>
      <w:r>
        <w:rPr>
          <w:rFonts w:ascii="Arial" w:hAnsi="Arial" w:cs="Arial"/>
        </w:rPr>
        <w:t>Consecuentemente no se puede cerrar los ojos so pretexto de que no es un tema desarrollado en los contenidos de la materia, debemos involucrarnos en la construcción de una mirada integradora en nuestra Facultad de Ciencias Jurídicas y “Sociales”.</w:t>
      </w:r>
      <w:r w:rsidR="00C920E7">
        <w:rPr>
          <w:rFonts w:ascii="Arial" w:hAnsi="Arial" w:cs="Arial"/>
        </w:rPr>
        <w:t xml:space="preserve"> </w:t>
      </w:r>
      <w:r w:rsidR="00F66E5D" w:rsidRPr="00A627CA">
        <w:rPr>
          <w:rFonts w:ascii="Arial" w:hAnsi="Arial" w:cs="Arial"/>
          <w:b/>
        </w:rPr>
        <w:t>Bibliografía:</w:t>
      </w:r>
    </w:p>
    <w:p w:rsidR="000C3E53" w:rsidRPr="009E0EE6" w:rsidRDefault="009E0EE6" w:rsidP="009E0EE6">
      <w:pPr>
        <w:pStyle w:val="NormalWeb"/>
        <w:spacing w:before="0" w:beforeAutospacing="0" w:after="150" w:afterAutospacing="0"/>
        <w:jc w:val="both"/>
        <w:rPr>
          <w:rFonts w:ascii="Arial" w:hAnsi="Arial" w:cs="Arial"/>
        </w:rPr>
      </w:pPr>
      <w:hyperlink r:id="rId5" w:history="1">
        <w:r w:rsidR="008071F7" w:rsidRPr="00E96A82">
          <w:rPr>
            <w:rStyle w:val="Hipervnculo"/>
            <w:rFonts w:ascii="Arial" w:hAnsi="Arial" w:cs="Arial"/>
          </w:rPr>
          <w:t>https://repositorio.cepal.org/bitstream/handle/11362/43468/1/RVE124_Rossignolo.pdf</w:t>
        </w:r>
      </w:hyperlink>
    </w:p>
    <w:p w:rsidR="00A23D35" w:rsidRDefault="009E0EE6" w:rsidP="009E0EE6">
      <w:pPr>
        <w:spacing w:after="0" w:line="240" w:lineRule="auto"/>
        <w:jc w:val="both"/>
        <w:rPr>
          <w:rFonts w:ascii="Arial" w:hAnsi="Arial" w:cs="Arial"/>
          <w:color w:val="000000" w:themeColor="text1"/>
          <w:sz w:val="24"/>
          <w:szCs w:val="24"/>
        </w:rPr>
      </w:pPr>
      <w:hyperlink r:id="rId6" w:history="1">
        <w:r w:rsidR="000C3E53" w:rsidRPr="00635224">
          <w:rPr>
            <w:rStyle w:val="Hipervnculo"/>
            <w:rFonts w:ascii="Arial" w:hAnsi="Arial" w:cs="Arial"/>
            <w:sz w:val="24"/>
            <w:szCs w:val="24"/>
          </w:rPr>
          <w:t>https://repositorio.cepal.org/bitstream/handle/11362/16577/1/S2004062_es.pdf</w:t>
        </w:r>
      </w:hyperlink>
    </w:p>
    <w:p w:rsidR="000C3E53" w:rsidRDefault="009E0EE6" w:rsidP="009E0EE6">
      <w:pPr>
        <w:spacing w:after="0" w:line="240" w:lineRule="auto"/>
        <w:jc w:val="both"/>
        <w:rPr>
          <w:rFonts w:ascii="Arial" w:hAnsi="Arial" w:cs="Arial"/>
          <w:color w:val="000000" w:themeColor="text1"/>
          <w:sz w:val="24"/>
          <w:szCs w:val="24"/>
        </w:rPr>
      </w:pPr>
      <w:hyperlink r:id="rId7" w:history="1">
        <w:r w:rsidR="000C3E53" w:rsidRPr="00635224">
          <w:rPr>
            <w:rStyle w:val="Hipervnculo"/>
            <w:rFonts w:ascii="Arial" w:hAnsi="Arial" w:cs="Arial"/>
            <w:sz w:val="24"/>
            <w:szCs w:val="24"/>
          </w:rPr>
          <w:t>https://www.argentina.gob.ar/sites/default/files/2020/09/plan_nacional_de_igualdad_en_la_diversidad_2021-2023.pdf</w:t>
        </w:r>
      </w:hyperlink>
    </w:p>
    <w:p w:rsidR="00C1071D" w:rsidRPr="00C1071D" w:rsidRDefault="00C1071D" w:rsidP="00A627CA">
      <w:pPr>
        <w:spacing w:line="360" w:lineRule="auto"/>
        <w:rPr>
          <w:rFonts w:ascii="Arial" w:hAnsi="Arial" w:cs="Arial"/>
          <w:b/>
        </w:rPr>
      </w:pPr>
      <w:r w:rsidRPr="00A627CA">
        <w:rPr>
          <w:rFonts w:ascii="Arial" w:hAnsi="Arial" w:cs="Arial"/>
          <w:b/>
          <w:sz w:val="24"/>
          <w:szCs w:val="24"/>
        </w:rPr>
        <w:t>Docente Interina Adjunta, Comisión 8, Fin</w:t>
      </w:r>
      <w:r>
        <w:rPr>
          <w:rFonts w:ascii="Arial" w:hAnsi="Arial" w:cs="Arial"/>
          <w:b/>
        </w:rPr>
        <w:t xml:space="preserve">anzas y Derecho Financiero - UNLP </w:t>
      </w:r>
    </w:p>
    <w:sectPr w:rsidR="00C1071D" w:rsidRPr="00C1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2709"/>
    <w:multiLevelType w:val="hybridMultilevel"/>
    <w:tmpl w:val="9978F642"/>
    <w:lvl w:ilvl="0" w:tplc="913AC63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07"/>
    <w:rsid w:val="00016749"/>
    <w:rsid w:val="000273DE"/>
    <w:rsid w:val="000455D9"/>
    <w:rsid w:val="000552F1"/>
    <w:rsid w:val="00061EB4"/>
    <w:rsid w:val="000A75F5"/>
    <w:rsid w:val="000C3E53"/>
    <w:rsid w:val="000E5853"/>
    <w:rsid w:val="000E597D"/>
    <w:rsid w:val="000E5EE5"/>
    <w:rsid w:val="0010607C"/>
    <w:rsid w:val="0013667D"/>
    <w:rsid w:val="0014721B"/>
    <w:rsid w:val="00152E29"/>
    <w:rsid w:val="001737DD"/>
    <w:rsid w:val="00243E8A"/>
    <w:rsid w:val="002549B9"/>
    <w:rsid w:val="002C217A"/>
    <w:rsid w:val="002F0013"/>
    <w:rsid w:val="00312810"/>
    <w:rsid w:val="00327397"/>
    <w:rsid w:val="00332F5E"/>
    <w:rsid w:val="00347DF7"/>
    <w:rsid w:val="003E7859"/>
    <w:rsid w:val="00411CFC"/>
    <w:rsid w:val="0046045A"/>
    <w:rsid w:val="004B0AD3"/>
    <w:rsid w:val="004F73F3"/>
    <w:rsid w:val="005116EF"/>
    <w:rsid w:val="005315FE"/>
    <w:rsid w:val="00544948"/>
    <w:rsid w:val="005456F0"/>
    <w:rsid w:val="00557FEA"/>
    <w:rsid w:val="0058563F"/>
    <w:rsid w:val="0058780B"/>
    <w:rsid w:val="005A26B7"/>
    <w:rsid w:val="005B1CCF"/>
    <w:rsid w:val="005B25F0"/>
    <w:rsid w:val="005D0BC5"/>
    <w:rsid w:val="005D6BCA"/>
    <w:rsid w:val="005E663D"/>
    <w:rsid w:val="005F255F"/>
    <w:rsid w:val="00602087"/>
    <w:rsid w:val="00621C88"/>
    <w:rsid w:val="00623911"/>
    <w:rsid w:val="006366BC"/>
    <w:rsid w:val="00677F95"/>
    <w:rsid w:val="0069275F"/>
    <w:rsid w:val="006A063C"/>
    <w:rsid w:val="006A46A7"/>
    <w:rsid w:val="006B4913"/>
    <w:rsid w:val="006C2374"/>
    <w:rsid w:val="006E5428"/>
    <w:rsid w:val="006E7F9B"/>
    <w:rsid w:val="006F6E22"/>
    <w:rsid w:val="0074750F"/>
    <w:rsid w:val="00766303"/>
    <w:rsid w:val="00787136"/>
    <w:rsid w:val="007E1B30"/>
    <w:rsid w:val="008071F7"/>
    <w:rsid w:val="00837156"/>
    <w:rsid w:val="00855C0E"/>
    <w:rsid w:val="0089168B"/>
    <w:rsid w:val="00895EF8"/>
    <w:rsid w:val="008C019E"/>
    <w:rsid w:val="0091169E"/>
    <w:rsid w:val="00912660"/>
    <w:rsid w:val="009E0EE6"/>
    <w:rsid w:val="009E2C36"/>
    <w:rsid w:val="00A04BBC"/>
    <w:rsid w:val="00A11FEF"/>
    <w:rsid w:val="00A23D35"/>
    <w:rsid w:val="00A27A60"/>
    <w:rsid w:val="00A337D1"/>
    <w:rsid w:val="00A571DC"/>
    <w:rsid w:val="00A627CA"/>
    <w:rsid w:val="00A742E4"/>
    <w:rsid w:val="00A75152"/>
    <w:rsid w:val="00A77D13"/>
    <w:rsid w:val="00A94D43"/>
    <w:rsid w:val="00B03632"/>
    <w:rsid w:val="00B471A6"/>
    <w:rsid w:val="00B8147D"/>
    <w:rsid w:val="00B8350B"/>
    <w:rsid w:val="00BF3907"/>
    <w:rsid w:val="00C1071D"/>
    <w:rsid w:val="00C23B18"/>
    <w:rsid w:val="00C43C34"/>
    <w:rsid w:val="00C45948"/>
    <w:rsid w:val="00C536BD"/>
    <w:rsid w:val="00C76894"/>
    <w:rsid w:val="00C87069"/>
    <w:rsid w:val="00C920E7"/>
    <w:rsid w:val="00CA1823"/>
    <w:rsid w:val="00D00962"/>
    <w:rsid w:val="00D01802"/>
    <w:rsid w:val="00D123DC"/>
    <w:rsid w:val="00D22948"/>
    <w:rsid w:val="00D32180"/>
    <w:rsid w:val="00D5676E"/>
    <w:rsid w:val="00D97236"/>
    <w:rsid w:val="00DB7191"/>
    <w:rsid w:val="00DD4578"/>
    <w:rsid w:val="00DF0957"/>
    <w:rsid w:val="00E12186"/>
    <w:rsid w:val="00E12B3D"/>
    <w:rsid w:val="00E1491E"/>
    <w:rsid w:val="00E249FA"/>
    <w:rsid w:val="00E257C5"/>
    <w:rsid w:val="00E540D2"/>
    <w:rsid w:val="00E702E1"/>
    <w:rsid w:val="00E7326A"/>
    <w:rsid w:val="00E93450"/>
    <w:rsid w:val="00EA5B40"/>
    <w:rsid w:val="00EB68EE"/>
    <w:rsid w:val="00ED14C0"/>
    <w:rsid w:val="00EF33CA"/>
    <w:rsid w:val="00EF71D7"/>
    <w:rsid w:val="00F01A34"/>
    <w:rsid w:val="00F57353"/>
    <w:rsid w:val="00F66E5D"/>
    <w:rsid w:val="00F9460C"/>
    <w:rsid w:val="00FD3634"/>
    <w:rsid w:val="00FE4311"/>
    <w:rsid w:val="00FF19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C181"/>
  <w15:docId w15:val="{BB9D91DC-3678-4B61-9FC6-FD946D22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491E"/>
    <w:rPr>
      <w:color w:val="0000FF" w:themeColor="hyperlink"/>
      <w:u w:val="single"/>
    </w:rPr>
  </w:style>
  <w:style w:type="paragraph" w:styleId="Prrafodelista">
    <w:name w:val="List Paragraph"/>
    <w:basedOn w:val="Normal"/>
    <w:uiPriority w:val="34"/>
    <w:qFormat/>
    <w:rsid w:val="00E540D2"/>
    <w:pPr>
      <w:ind w:left="720"/>
      <w:contextualSpacing/>
    </w:pPr>
  </w:style>
  <w:style w:type="table" w:styleId="Tablaconcuadrcula">
    <w:name w:val="Table Grid"/>
    <w:basedOn w:val="Tablanormal"/>
    <w:uiPriority w:val="39"/>
    <w:rsid w:val="004B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20E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4203">
      <w:bodyDiv w:val="1"/>
      <w:marLeft w:val="0"/>
      <w:marRight w:val="0"/>
      <w:marTop w:val="0"/>
      <w:marBottom w:val="0"/>
      <w:divBdr>
        <w:top w:val="none" w:sz="0" w:space="0" w:color="auto"/>
        <w:left w:val="none" w:sz="0" w:space="0" w:color="auto"/>
        <w:bottom w:val="none" w:sz="0" w:space="0" w:color="auto"/>
        <w:right w:val="none" w:sz="0" w:space="0" w:color="auto"/>
      </w:divBdr>
    </w:div>
    <w:div w:id="380055933">
      <w:bodyDiv w:val="1"/>
      <w:marLeft w:val="0"/>
      <w:marRight w:val="0"/>
      <w:marTop w:val="0"/>
      <w:marBottom w:val="0"/>
      <w:divBdr>
        <w:top w:val="none" w:sz="0" w:space="0" w:color="auto"/>
        <w:left w:val="none" w:sz="0" w:space="0" w:color="auto"/>
        <w:bottom w:val="none" w:sz="0" w:space="0" w:color="auto"/>
        <w:right w:val="none" w:sz="0" w:space="0" w:color="auto"/>
      </w:divBdr>
      <w:divsChild>
        <w:div w:id="349188333">
          <w:marLeft w:val="0"/>
          <w:marRight w:val="0"/>
          <w:marTop w:val="0"/>
          <w:marBottom w:val="0"/>
          <w:divBdr>
            <w:top w:val="none" w:sz="0" w:space="0" w:color="auto"/>
            <w:left w:val="none" w:sz="0" w:space="0" w:color="auto"/>
            <w:bottom w:val="none" w:sz="0" w:space="0" w:color="auto"/>
            <w:right w:val="none" w:sz="0" w:space="0" w:color="auto"/>
          </w:divBdr>
          <w:divsChild>
            <w:div w:id="2107801496">
              <w:marLeft w:val="0"/>
              <w:marRight w:val="0"/>
              <w:marTop w:val="0"/>
              <w:marBottom w:val="0"/>
              <w:divBdr>
                <w:top w:val="none" w:sz="0" w:space="0" w:color="auto"/>
                <w:left w:val="none" w:sz="0" w:space="0" w:color="auto"/>
                <w:bottom w:val="none" w:sz="0" w:space="0" w:color="auto"/>
                <w:right w:val="none" w:sz="0" w:space="0" w:color="auto"/>
              </w:divBdr>
              <w:divsChild>
                <w:div w:id="1061248330">
                  <w:marLeft w:val="0"/>
                  <w:marRight w:val="0"/>
                  <w:marTop w:val="0"/>
                  <w:marBottom w:val="0"/>
                  <w:divBdr>
                    <w:top w:val="none" w:sz="0" w:space="0" w:color="auto"/>
                    <w:left w:val="none" w:sz="0" w:space="0" w:color="auto"/>
                    <w:bottom w:val="none" w:sz="0" w:space="0" w:color="auto"/>
                    <w:right w:val="none" w:sz="0" w:space="0" w:color="auto"/>
                  </w:divBdr>
                </w:div>
              </w:divsChild>
            </w:div>
            <w:div w:id="3808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155">
      <w:bodyDiv w:val="1"/>
      <w:marLeft w:val="0"/>
      <w:marRight w:val="0"/>
      <w:marTop w:val="0"/>
      <w:marBottom w:val="0"/>
      <w:divBdr>
        <w:top w:val="none" w:sz="0" w:space="0" w:color="auto"/>
        <w:left w:val="none" w:sz="0" w:space="0" w:color="auto"/>
        <w:bottom w:val="none" w:sz="0" w:space="0" w:color="auto"/>
        <w:right w:val="none" w:sz="0" w:space="0" w:color="auto"/>
      </w:divBdr>
      <w:divsChild>
        <w:div w:id="175773886">
          <w:marLeft w:val="0"/>
          <w:marRight w:val="0"/>
          <w:marTop w:val="0"/>
          <w:marBottom w:val="0"/>
          <w:divBdr>
            <w:top w:val="none" w:sz="0" w:space="0" w:color="auto"/>
            <w:left w:val="none" w:sz="0" w:space="0" w:color="auto"/>
            <w:bottom w:val="none" w:sz="0" w:space="0" w:color="auto"/>
            <w:right w:val="none" w:sz="0" w:space="0" w:color="auto"/>
          </w:divBdr>
          <w:divsChild>
            <w:div w:id="639775073">
              <w:marLeft w:val="0"/>
              <w:marRight w:val="0"/>
              <w:marTop w:val="0"/>
              <w:marBottom w:val="0"/>
              <w:divBdr>
                <w:top w:val="none" w:sz="0" w:space="0" w:color="auto"/>
                <w:left w:val="none" w:sz="0" w:space="0" w:color="auto"/>
                <w:bottom w:val="none" w:sz="0" w:space="0" w:color="auto"/>
                <w:right w:val="none" w:sz="0" w:space="0" w:color="auto"/>
              </w:divBdr>
              <w:divsChild>
                <w:div w:id="1391071137">
                  <w:marLeft w:val="0"/>
                  <w:marRight w:val="0"/>
                  <w:marTop w:val="0"/>
                  <w:marBottom w:val="0"/>
                  <w:divBdr>
                    <w:top w:val="none" w:sz="0" w:space="0" w:color="auto"/>
                    <w:left w:val="none" w:sz="0" w:space="0" w:color="auto"/>
                    <w:bottom w:val="none" w:sz="0" w:space="0" w:color="auto"/>
                    <w:right w:val="none" w:sz="0" w:space="0" w:color="auto"/>
                  </w:divBdr>
                </w:div>
              </w:divsChild>
            </w:div>
            <w:div w:id="1608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9815">
      <w:bodyDiv w:val="1"/>
      <w:marLeft w:val="0"/>
      <w:marRight w:val="0"/>
      <w:marTop w:val="0"/>
      <w:marBottom w:val="0"/>
      <w:divBdr>
        <w:top w:val="none" w:sz="0" w:space="0" w:color="auto"/>
        <w:left w:val="none" w:sz="0" w:space="0" w:color="auto"/>
        <w:bottom w:val="none" w:sz="0" w:space="0" w:color="auto"/>
        <w:right w:val="none" w:sz="0" w:space="0" w:color="auto"/>
      </w:divBdr>
    </w:div>
    <w:div w:id="1889101939">
      <w:bodyDiv w:val="1"/>
      <w:marLeft w:val="0"/>
      <w:marRight w:val="0"/>
      <w:marTop w:val="0"/>
      <w:marBottom w:val="0"/>
      <w:divBdr>
        <w:top w:val="none" w:sz="0" w:space="0" w:color="auto"/>
        <w:left w:val="none" w:sz="0" w:space="0" w:color="auto"/>
        <w:bottom w:val="none" w:sz="0" w:space="0" w:color="auto"/>
        <w:right w:val="none" w:sz="0" w:space="0" w:color="auto"/>
      </w:divBdr>
      <w:divsChild>
        <w:div w:id="2074548112">
          <w:marLeft w:val="0"/>
          <w:marRight w:val="0"/>
          <w:marTop w:val="0"/>
          <w:marBottom w:val="0"/>
          <w:divBdr>
            <w:top w:val="none" w:sz="0" w:space="0" w:color="auto"/>
            <w:left w:val="none" w:sz="0" w:space="0" w:color="auto"/>
            <w:bottom w:val="none" w:sz="0" w:space="0" w:color="auto"/>
            <w:right w:val="none" w:sz="0" w:space="0" w:color="auto"/>
          </w:divBdr>
          <w:divsChild>
            <w:div w:id="87509495">
              <w:marLeft w:val="0"/>
              <w:marRight w:val="0"/>
              <w:marTop w:val="0"/>
              <w:marBottom w:val="0"/>
              <w:divBdr>
                <w:top w:val="none" w:sz="0" w:space="0" w:color="auto"/>
                <w:left w:val="none" w:sz="0" w:space="0" w:color="auto"/>
                <w:bottom w:val="none" w:sz="0" w:space="0" w:color="auto"/>
                <w:right w:val="none" w:sz="0" w:space="0" w:color="auto"/>
              </w:divBdr>
              <w:divsChild>
                <w:div w:id="910887516">
                  <w:marLeft w:val="0"/>
                  <w:marRight w:val="0"/>
                  <w:marTop w:val="0"/>
                  <w:marBottom w:val="0"/>
                  <w:divBdr>
                    <w:top w:val="none" w:sz="0" w:space="0" w:color="auto"/>
                    <w:left w:val="none" w:sz="0" w:space="0" w:color="auto"/>
                    <w:bottom w:val="none" w:sz="0" w:space="0" w:color="auto"/>
                    <w:right w:val="none" w:sz="0" w:space="0" w:color="auto"/>
                  </w:divBdr>
                </w:div>
              </w:divsChild>
            </w:div>
            <w:div w:id="5659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gentina.gob.ar/sites/default/files/2020/09/plan_nacional_de_igualdad_en_la_diversidad_2021-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io.cepal.org/bitstream/handle/11362/16577/1/S2004062_es.pdf" TargetMode="External"/><Relationship Id="rId5" Type="http://schemas.openxmlformats.org/officeDocument/2006/relationships/hyperlink" Target="https://repositorio.cepal.org/bitstream/handle/11362/43468/1/RVE124_Rossignolo.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7</Pages>
  <Words>2458</Words>
  <Characters>14017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Nicolas Czimbalos</cp:lastModifiedBy>
  <cp:revision>21</cp:revision>
  <dcterms:created xsi:type="dcterms:W3CDTF">2021-09-23T15:08:00Z</dcterms:created>
  <dcterms:modified xsi:type="dcterms:W3CDTF">2021-10-25T13:25:00Z</dcterms:modified>
</cp:coreProperties>
</file>