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92076" w14:textId="3833A72A" w:rsidR="00394404" w:rsidRPr="00E30612" w:rsidRDefault="00E4679D" w:rsidP="00E4679D">
      <w:pPr>
        <w:spacing w:line="360" w:lineRule="auto"/>
        <w:jc w:val="center"/>
        <w:rPr>
          <w:rFonts w:eastAsia="Times New Roman"/>
          <w:b/>
          <w:sz w:val="24"/>
          <w:szCs w:val="24"/>
          <w:lang w:val="es-MX"/>
        </w:rPr>
      </w:pPr>
      <w:r w:rsidRPr="00E30612">
        <w:rPr>
          <w:rFonts w:eastAsia="Times New Roman"/>
          <w:b/>
          <w:sz w:val="24"/>
          <w:szCs w:val="24"/>
          <w:lang w:val="es-MX"/>
        </w:rPr>
        <w:t>INVESTIGACIÓN Y FORMACIÓN DESDE LA INTERDISCIPLINA.</w:t>
      </w:r>
    </w:p>
    <w:p w14:paraId="22F5A181" w14:textId="3E7B7844" w:rsidR="00E4679D" w:rsidRDefault="00E4679D" w:rsidP="00987097">
      <w:pPr>
        <w:spacing w:line="360" w:lineRule="auto"/>
        <w:jc w:val="center"/>
        <w:rPr>
          <w:rFonts w:eastAsia="Times New Roman"/>
          <w:sz w:val="24"/>
          <w:szCs w:val="24"/>
          <w:lang w:val="es-MX"/>
        </w:rPr>
      </w:pPr>
      <w:r w:rsidRPr="00E30612">
        <w:rPr>
          <w:rFonts w:eastAsia="Times New Roman"/>
          <w:b/>
          <w:sz w:val="24"/>
          <w:szCs w:val="24"/>
          <w:lang w:val="es-MX"/>
        </w:rPr>
        <w:t xml:space="preserve">Etnografía y litigio en el caso de las-os trabajadoras-es </w:t>
      </w:r>
      <w:r w:rsidR="00350635" w:rsidRPr="00E30612">
        <w:rPr>
          <w:rFonts w:eastAsia="Times New Roman"/>
          <w:b/>
          <w:sz w:val="24"/>
          <w:szCs w:val="24"/>
          <w:lang w:val="es-MX"/>
        </w:rPr>
        <w:t xml:space="preserve">del </w:t>
      </w:r>
      <w:proofErr w:type="spellStart"/>
      <w:r w:rsidR="00350635" w:rsidRPr="00E30612">
        <w:rPr>
          <w:rFonts w:eastAsia="Times New Roman"/>
          <w:b/>
          <w:sz w:val="24"/>
          <w:szCs w:val="24"/>
          <w:lang w:val="es-MX"/>
        </w:rPr>
        <w:t>Mendicrim</w:t>
      </w:r>
      <w:proofErr w:type="spellEnd"/>
      <w:r w:rsidR="00350635" w:rsidRPr="00E30612">
        <w:rPr>
          <w:rFonts w:eastAsia="Times New Roman"/>
          <w:b/>
          <w:sz w:val="24"/>
          <w:szCs w:val="24"/>
          <w:lang w:val="es-MX"/>
        </w:rPr>
        <w:t>/</w:t>
      </w:r>
      <w:r w:rsidR="00A04849" w:rsidRPr="00E30612">
        <w:rPr>
          <w:rFonts w:eastAsia="Times New Roman"/>
          <w:b/>
          <w:sz w:val="24"/>
          <w:szCs w:val="24"/>
          <w:lang w:val="es-MX"/>
        </w:rPr>
        <w:t xml:space="preserve"> </w:t>
      </w:r>
      <w:r w:rsidR="00350635" w:rsidRPr="00E30612">
        <w:rPr>
          <w:rFonts w:eastAsia="Times New Roman"/>
          <w:b/>
          <w:sz w:val="24"/>
          <w:szCs w:val="24"/>
          <w:lang w:val="es-MX"/>
        </w:rPr>
        <w:t>AR</w:t>
      </w:r>
      <w:r w:rsidRPr="00E30612">
        <w:rPr>
          <w:rFonts w:eastAsia="Times New Roman"/>
          <w:b/>
          <w:sz w:val="24"/>
          <w:szCs w:val="24"/>
          <w:lang w:val="es-MX"/>
        </w:rPr>
        <w:t>SA</w:t>
      </w:r>
      <w:r>
        <w:rPr>
          <w:rFonts w:eastAsia="Times New Roman"/>
          <w:sz w:val="24"/>
          <w:szCs w:val="24"/>
          <w:lang w:val="es-MX"/>
        </w:rPr>
        <w:t xml:space="preserve"> </w:t>
      </w:r>
      <w:r w:rsidR="00D06352" w:rsidRPr="00E30612">
        <w:rPr>
          <w:rFonts w:eastAsia="Times New Roman"/>
          <w:b/>
          <w:sz w:val="24"/>
          <w:szCs w:val="24"/>
          <w:lang w:val="es-MX"/>
        </w:rPr>
        <w:t>(SANCOR</w:t>
      </w:r>
      <w:r w:rsidR="0014118C" w:rsidRPr="00E30612">
        <w:rPr>
          <w:rFonts w:eastAsia="Times New Roman"/>
          <w:b/>
          <w:sz w:val="24"/>
          <w:szCs w:val="24"/>
          <w:lang w:val="es-MX"/>
        </w:rPr>
        <w:t>- VICENTIN</w:t>
      </w:r>
      <w:r w:rsidR="00520A9B" w:rsidRPr="00E30612">
        <w:rPr>
          <w:rFonts w:eastAsia="Times New Roman"/>
          <w:b/>
          <w:sz w:val="24"/>
          <w:szCs w:val="24"/>
          <w:lang w:val="es-MX"/>
        </w:rPr>
        <w:t>- BAF CAPITAL</w:t>
      </w:r>
      <w:r w:rsidR="00350635" w:rsidRPr="00E30612">
        <w:rPr>
          <w:rFonts w:eastAsia="Times New Roman"/>
          <w:b/>
          <w:sz w:val="24"/>
          <w:szCs w:val="24"/>
          <w:lang w:val="es-MX"/>
        </w:rPr>
        <w:t xml:space="preserve">)- </w:t>
      </w:r>
      <w:r w:rsidR="00A04849" w:rsidRPr="00E30612">
        <w:rPr>
          <w:rFonts w:eastAsia="Times New Roman"/>
          <w:b/>
          <w:sz w:val="24"/>
          <w:szCs w:val="24"/>
          <w:lang w:val="es-MX"/>
        </w:rPr>
        <w:t>Arenaza</w:t>
      </w:r>
      <w:r w:rsidRPr="00E30612">
        <w:rPr>
          <w:rFonts w:eastAsia="Times New Roman"/>
          <w:b/>
          <w:sz w:val="24"/>
          <w:szCs w:val="24"/>
          <w:lang w:val="es-MX"/>
        </w:rPr>
        <w:t>.</w:t>
      </w:r>
    </w:p>
    <w:p w14:paraId="1BF9D932" w14:textId="6E96FAE8" w:rsidR="0014118C" w:rsidRDefault="0014118C" w:rsidP="004A0578">
      <w:pPr>
        <w:spacing w:line="360" w:lineRule="auto"/>
        <w:jc w:val="right"/>
        <w:rPr>
          <w:rFonts w:eastAsia="Times New Roman"/>
          <w:sz w:val="24"/>
          <w:szCs w:val="24"/>
          <w:lang w:val="es-MX"/>
        </w:rPr>
      </w:pPr>
      <w:r>
        <w:rPr>
          <w:rFonts w:eastAsia="Times New Roman"/>
          <w:sz w:val="24"/>
          <w:szCs w:val="24"/>
          <w:lang w:val="es-MX"/>
        </w:rPr>
        <w:t xml:space="preserve">Ignacio </w:t>
      </w:r>
      <w:proofErr w:type="spellStart"/>
      <w:r>
        <w:rPr>
          <w:rFonts w:eastAsia="Times New Roman"/>
          <w:sz w:val="24"/>
          <w:szCs w:val="24"/>
          <w:lang w:val="es-MX"/>
        </w:rPr>
        <w:t>Iudica</w:t>
      </w:r>
      <w:proofErr w:type="spellEnd"/>
      <w:r>
        <w:rPr>
          <w:rStyle w:val="Refdenotaalpie"/>
          <w:rFonts w:eastAsia="Times New Roman"/>
          <w:sz w:val="24"/>
          <w:szCs w:val="24"/>
          <w:lang w:val="es-MX"/>
        </w:rPr>
        <w:footnoteReference w:id="1"/>
      </w:r>
      <w:r w:rsidR="004A0578">
        <w:rPr>
          <w:rFonts w:eastAsia="Times New Roman"/>
          <w:sz w:val="24"/>
          <w:szCs w:val="24"/>
          <w:lang w:val="es-MX"/>
        </w:rPr>
        <w:t xml:space="preserve">- </w:t>
      </w:r>
      <w:r>
        <w:rPr>
          <w:rFonts w:eastAsia="Times New Roman"/>
          <w:sz w:val="24"/>
          <w:szCs w:val="24"/>
          <w:lang w:val="es-MX"/>
        </w:rPr>
        <w:t xml:space="preserve">Virginia </w:t>
      </w:r>
      <w:proofErr w:type="spellStart"/>
      <w:r>
        <w:rPr>
          <w:rFonts w:eastAsia="Times New Roman"/>
          <w:sz w:val="24"/>
          <w:szCs w:val="24"/>
          <w:lang w:val="es-MX"/>
        </w:rPr>
        <w:t>Sabao</w:t>
      </w:r>
      <w:proofErr w:type="spellEnd"/>
      <w:r w:rsidR="00EF7B4A">
        <w:rPr>
          <w:rStyle w:val="Refdenotaalpie"/>
          <w:rFonts w:eastAsia="Times New Roman"/>
          <w:sz w:val="24"/>
          <w:szCs w:val="24"/>
          <w:lang w:val="es-MX"/>
        </w:rPr>
        <w:footnoteReference w:id="2"/>
      </w:r>
    </w:p>
    <w:p w14:paraId="31247DFC" w14:textId="5799B7C3" w:rsidR="005C26D8" w:rsidRDefault="005C26D8" w:rsidP="005C26D8">
      <w:pPr>
        <w:spacing w:line="240" w:lineRule="auto"/>
        <w:jc w:val="right"/>
        <w:rPr>
          <w:sz w:val="20"/>
          <w:szCs w:val="20"/>
        </w:rPr>
      </w:pPr>
      <w:r w:rsidRPr="005C26D8">
        <w:rPr>
          <w:sz w:val="20"/>
          <w:szCs w:val="20"/>
        </w:rPr>
        <w:t xml:space="preserve">Al realizar investigación </w:t>
      </w:r>
      <w:proofErr w:type="spellStart"/>
      <w:r w:rsidRPr="005C26D8">
        <w:rPr>
          <w:sz w:val="20"/>
          <w:szCs w:val="20"/>
        </w:rPr>
        <w:t>multilocal</w:t>
      </w:r>
      <w:proofErr w:type="spellEnd"/>
      <w:r w:rsidRPr="005C26D8">
        <w:rPr>
          <w:sz w:val="20"/>
          <w:szCs w:val="20"/>
        </w:rPr>
        <w:t>, uno se encuentra con todo tipo de compromisos personales contradictorios. Estos conflictos se resuelven, tal vez de manera ambivalente, no al refugiarse en ser un […</w:t>
      </w:r>
      <w:proofErr w:type="gramStart"/>
      <w:r w:rsidRPr="005C26D8">
        <w:rPr>
          <w:sz w:val="20"/>
          <w:szCs w:val="20"/>
        </w:rPr>
        <w:t>]académico</w:t>
      </w:r>
      <w:proofErr w:type="gramEnd"/>
      <w:r w:rsidRPr="005C26D8">
        <w:rPr>
          <w:sz w:val="20"/>
          <w:szCs w:val="20"/>
        </w:rPr>
        <w:t xml:space="preserve"> distanciado, sino en ser una especie de etnógrafo activista, renegociando identidades en diferentes lugares mientras uno aprende más sobre una parte del sistema mundo. </w:t>
      </w:r>
      <w:r>
        <w:rPr>
          <w:sz w:val="20"/>
          <w:szCs w:val="20"/>
        </w:rPr>
        <w:t>(Marcus, 2001: 123)</w:t>
      </w:r>
    </w:p>
    <w:p w14:paraId="260733FB" w14:textId="77777777" w:rsidR="00E30612" w:rsidRPr="005C26D8" w:rsidRDefault="00E30612" w:rsidP="005C26D8">
      <w:pPr>
        <w:spacing w:line="240" w:lineRule="auto"/>
        <w:jc w:val="right"/>
        <w:rPr>
          <w:rFonts w:eastAsia="Times New Roman"/>
          <w:sz w:val="20"/>
          <w:szCs w:val="20"/>
          <w:lang w:val="es-MX"/>
        </w:rPr>
      </w:pPr>
    </w:p>
    <w:p w14:paraId="3E4923EC" w14:textId="72439710" w:rsidR="0063521C" w:rsidRDefault="0014118C" w:rsidP="000E31D3">
      <w:pPr>
        <w:spacing w:line="360" w:lineRule="auto"/>
        <w:jc w:val="both"/>
        <w:rPr>
          <w:rFonts w:eastAsia="Times New Roman"/>
          <w:sz w:val="24"/>
          <w:szCs w:val="24"/>
          <w:lang w:val="es-MX"/>
        </w:rPr>
      </w:pPr>
      <w:r w:rsidRPr="00E30612">
        <w:rPr>
          <w:rFonts w:eastAsia="Times New Roman"/>
          <w:b/>
          <w:sz w:val="24"/>
          <w:szCs w:val="24"/>
          <w:lang w:val="es-MX"/>
        </w:rPr>
        <w:t>Resumen:</w:t>
      </w:r>
      <w:r w:rsidR="00E30612">
        <w:rPr>
          <w:rFonts w:eastAsia="Times New Roman"/>
          <w:b/>
          <w:sz w:val="24"/>
          <w:szCs w:val="24"/>
          <w:lang w:val="es-MX"/>
        </w:rPr>
        <w:t xml:space="preserve"> </w:t>
      </w:r>
      <w:r w:rsidR="00FE68F2">
        <w:rPr>
          <w:rFonts w:eastAsia="Times New Roman"/>
          <w:sz w:val="24"/>
          <w:szCs w:val="24"/>
          <w:lang w:val="es-MX"/>
        </w:rPr>
        <w:t>C</w:t>
      </w:r>
      <w:r w:rsidR="009B3F72">
        <w:rPr>
          <w:rFonts w:eastAsia="Times New Roman"/>
          <w:sz w:val="24"/>
          <w:szCs w:val="24"/>
          <w:lang w:val="es-MX"/>
        </w:rPr>
        <w:t>omentaremos u</w:t>
      </w:r>
      <w:r w:rsidR="00B73D56">
        <w:rPr>
          <w:rFonts w:eastAsia="Times New Roman"/>
          <w:sz w:val="24"/>
          <w:szCs w:val="24"/>
          <w:lang w:val="es-MX"/>
        </w:rPr>
        <w:t xml:space="preserve">na experiencia de investigación interdisciplinaria </w:t>
      </w:r>
      <w:r w:rsidR="00694D92">
        <w:rPr>
          <w:rFonts w:eastAsia="Times New Roman"/>
          <w:sz w:val="24"/>
          <w:szCs w:val="24"/>
          <w:lang w:val="es-MX"/>
        </w:rPr>
        <w:t>realizada</w:t>
      </w:r>
      <w:r w:rsidR="009B3F72">
        <w:rPr>
          <w:rFonts w:eastAsia="Times New Roman"/>
          <w:sz w:val="24"/>
          <w:szCs w:val="24"/>
          <w:lang w:val="es-MX"/>
        </w:rPr>
        <w:t xml:space="preserve"> desde 2017 en la localidad de </w:t>
      </w:r>
      <w:r w:rsidR="00B73D56">
        <w:rPr>
          <w:rFonts w:eastAsia="Times New Roman"/>
          <w:sz w:val="24"/>
          <w:szCs w:val="24"/>
          <w:lang w:val="es-MX"/>
        </w:rPr>
        <w:t>Arenaza</w:t>
      </w:r>
      <w:r w:rsidR="009B3F72">
        <w:rPr>
          <w:rFonts w:eastAsia="Times New Roman"/>
          <w:sz w:val="24"/>
          <w:szCs w:val="24"/>
          <w:lang w:val="es-MX"/>
        </w:rPr>
        <w:t xml:space="preserve">. </w:t>
      </w:r>
      <w:r w:rsidR="00694D92">
        <w:rPr>
          <w:rFonts w:eastAsia="Times New Roman"/>
          <w:sz w:val="24"/>
          <w:szCs w:val="24"/>
          <w:lang w:val="es-MX"/>
        </w:rPr>
        <w:t>Una</w:t>
      </w:r>
      <w:r w:rsidR="009B3F72">
        <w:rPr>
          <w:rFonts w:eastAsia="Times New Roman"/>
          <w:sz w:val="24"/>
          <w:szCs w:val="24"/>
          <w:lang w:val="es-MX"/>
        </w:rPr>
        <w:t xml:space="preserve"> experiencia etnográfica</w:t>
      </w:r>
      <w:r w:rsidR="00FE68F2">
        <w:rPr>
          <w:rFonts w:eastAsia="Times New Roman"/>
          <w:sz w:val="24"/>
          <w:szCs w:val="24"/>
          <w:lang w:val="es-MX"/>
        </w:rPr>
        <w:t>,</w:t>
      </w:r>
      <w:r w:rsidR="009B3F72">
        <w:rPr>
          <w:rFonts w:eastAsia="Times New Roman"/>
          <w:sz w:val="24"/>
          <w:szCs w:val="24"/>
          <w:lang w:val="es-MX"/>
        </w:rPr>
        <w:t xml:space="preserve"> </w:t>
      </w:r>
      <w:r w:rsidR="00FE68F2">
        <w:rPr>
          <w:rFonts w:eastAsia="Times New Roman"/>
          <w:sz w:val="24"/>
          <w:szCs w:val="24"/>
          <w:lang w:val="es-MX"/>
        </w:rPr>
        <w:t>consecuencia de</w:t>
      </w:r>
      <w:r w:rsidR="009B3F72">
        <w:rPr>
          <w:rFonts w:eastAsia="Times New Roman"/>
          <w:sz w:val="24"/>
          <w:szCs w:val="24"/>
          <w:lang w:val="es-MX"/>
        </w:rPr>
        <w:t xml:space="preserve"> una investigaci</w:t>
      </w:r>
      <w:r w:rsidR="00FE68F2">
        <w:rPr>
          <w:rFonts w:eastAsia="Times New Roman"/>
          <w:sz w:val="24"/>
          <w:szCs w:val="24"/>
          <w:lang w:val="es-MX"/>
        </w:rPr>
        <w:t xml:space="preserve">ón anterior sobre </w:t>
      </w:r>
      <w:r w:rsidR="009B3F72">
        <w:rPr>
          <w:rFonts w:eastAsia="Times New Roman"/>
          <w:sz w:val="24"/>
          <w:szCs w:val="24"/>
          <w:lang w:val="es-MX"/>
        </w:rPr>
        <w:t>el derecho labo</w:t>
      </w:r>
      <w:r w:rsidR="00B73D56">
        <w:rPr>
          <w:rFonts w:eastAsia="Times New Roman"/>
          <w:sz w:val="24"/>
          <w:szCs w:val="24"/>
          <w:lang w:val="es-MX"/>
        </w:rPr>
        <w:t>ral en la enseñanza secu</w:t>
      </w:r>
      <w:r w:rsidR="009B3F72">
        <w:rPr>
          <w:rFonts w:eastAsia="Times New Roman"/>
          <w:sz w:val="24"/>
          <w:szCs w:val="24"/>
          <w:lang w:val="es-MX"/>
        </w:rPr>
        <w:t>ndaria</w:t>
      </w:r>
      <w:r w:rsidR="00694D92">
        <w:rPr>
          <w:rFonts w:eastAsia="Times New Roman"/>
          <w:sz w:val="24"/>
          <w:szCs w:val="24"/>
          <w:lang w:val="es-MX"/>
        </w:rPr>
        <w:t>, q</w:t>
      </w:r>
      <w:r w:rsidR="00B73D56">
        <w:rPr>
          <w:rFonts w:eastAsia="Times New Roman"/>
          <w:sz w:val="24"/>
          <w:szCs w:val="24"/>
          <w:lang w:val="es-MX"/>
        </w:rPr>
        <w:t>ue quisimos llevar al terreno empírico</w:t>
      </w:r>
      <w:r w:rsidR="00FE68F2">
        <w:rPr>
          <w:rFonts w:eastAsia="Times New Roman"/>
          <w:sz w:val="24"/>
          <w:szCs w:val="24"/>
          <w:lang w:val="es-MX"/>
        </w:rPr>
        <w:t xml:space="preserve">. </w:t>
      </w:r>
      <w:r w:rsidR="00694D92">
        <w:rPr>
          <w:rFonts w:eastAsia="Times New Roman"/>
          <w:sz w:val="24"/>
          <w:szCs w:val="24"/>
          <w:lang w:val="es-MX"/>
        </w:rPr>
        <w:t>Reconstruimos biografías personales/</w:t>
      </w:r>
      <w:r w:rsidR="00B73D56">
        <w:rPr>
          <w:rFonts w:eastAsia="Times New Roman"/>
          <w:sz w:val="24"/>
          <w:szCs w:val="24"/>
          <w:lang w:val="es-MX"/>
        </w:rPr>
        <w:t>lab</w:t>
      </w:r>
      <w:r w:rsidR="00694D92">
        <w:rPr>
          <w:rFonts w:eastAsia="Times New Roman"/>
          <w:sz w:val="24"/>
          <w:szCs w:val="24"/>
          <w:lang w:val="es-MX"/>
        </w:rPr>
        <w:t>orales de 30 trabajadores. A</w:t>
      </w:r>
      <w:r w:rsidR="00B73D56">
        <w:rPr>
          <w:rFonts w:eastAsia="Times New Roman"/>
          <w:sz w:val="24"/>
          <w:szCs w:val="24"/>
          <w:lang w:val="es-MX"/>
        </w:rPr>
        <w:t>bordamo</w:t>
      </w:r>
      <w:r w:rsidR="00246CF2">
        <w:rPr>
          <w:rFonts w:eastAsia="Times New Roman"/>
          <w:sz w:val="24"/>
          <w:szCs w:val="24"/>
          <w:lang w:val="es-MX"/>
        </w:rPr>
        <w:t>s sus memoria</w:t>
      </w:r>
      <w:r w:rsidR="00694D92">
        <w:rPr>
          <w:rFonts w:eastAsia="Times New Roman"/>
          <w:sz w:val="24"/>
          <w:szCs w:val="24"/>
          <w:lang w:val="es-MX"/>
        </w:rPr>
        <w:t>s sobre aprendizajes en torno al</w:t>
      </w:r>
      <w:r w:rsidR="00B73D56">
        <w:rPr>
          <w:rFonts w:eastAsia="Times New Roman"/>
          <w:sz w:val="24"/>
          <w:szCs w:val="24"/>
          <w:lang w:val="es-MX"/>
        </w:rPr>
        <w:t xml:space="preserve"> trabajo y el derecho al trabajo en la educación familiar, escolar y laboral.</w:t>
      </w:r>
      <w:r w:rsidR="00694D92">
        <w:rPr>
          <w:rFonts w:eastAsia="Times New Roman"/>
          <w:sz w:val="24"/>
          <w:szCs w:val="24"/>
          <w:lang w:val="es-MX"/>
        </w:rPr>
        <w:t xml:space="preserve">  </w:t>
      </w:r>
      <w:r w:rsidR="00FE68F2">
        <w:rPr>
          <w:rFonts w:eastAsia="Times New Roman"/>
          <w:sz w:val="24"/>
          <w:szCs w:val="24"/>
          <w:lang w:val="es-MX"/>
        </w:rPr>
        <w:t>Registramos</w:t>
      </w:r>
      <w:r w:rsidR="00694D92">
        <w:rPr>
          <w:rFonts w:eastAsia="Times New Roman"/>
          <w:sz w:val="24"/>
          <w:szCs w:val="24"/>
          <w:lang w:val="es-MX"/>
        </w:rPr>
        <w:t xml:space="preserve"> un proceso de despido</w:t>
      </w:r>
      <w:r w:rsidR="00FE68F2">
        <w:rPr>
          <w:rFonts w:eastAsia="Times New Roman"/>
          <w:sz w:val="24"/>
          <w:szCs w:val="24"/>
          <w:lang w:val="es-MX"/>
        </w:rPr>
        <w:t xml:space="preserve"> y reincorporación, acompañando a las-os trabajadoras-es. En est</w:t>
      </w:r>
      <w:r w:rsidR="00694D92">
        <w:rPr>
          <w:rFonts w:eastAsia="Times New Roman"/>
          <w:sz w:val="24"/>
          <w:szCs w:val="24"/>
          <w:lang w:val="es-MX"/>
        </w:rPr>
        <w:t>a experiencia de investigación</w:t>
      </w:r>
      <w:r w:rsidR="00FE68F2">
        <w:rPr>
          <w:rFonts w:eastAsia="Times New Roman"/>
          <w:sz w:val="24"/>
          <w:szCs w:val="24"/>
          <w:lang w:val="es-MX"/>
        </w:rPr>
        <w:t xml:space="preserve"> e intervención, el intercambio interdisciplinario nos permitió revisar algunos supuestos de la formación en Abogacía y</w:t>
      </w:r>
      <w:r w:rsidR="00694D92">
        <w:rPr>
          <w:rFonts w:eastAsia="Times New Roman"/>
          <w:sz w:val="24"/>
          <w:szCs w:val="24"/>
          <w:lang w:val="es-MX"/>
        </w:rPr>
        <w:t xml:space="preserve"> Antropología, que pudimos trabajar en clase con los estudiantes.</w:t>
      </w:r>
    </w:p>
    <w:p w14:paraId="6C73FFC0" w14:textId="77777777" w:rsidR="00E30612" w:rsidRDefault="00E30612" w:rsidP="00E30612">
      <w:pPr>
        <w:spacing w:line="360" w:lineRule="auto"/>
        <w:jc w:val="both"/>
        <w:rPr>
          <w:rFonts w:eastAsia="Times New Roman"/>
          <w:b/>
          <w:sz w:val="24"/>
          <w:szCs w:val="24"/>
          <w:lang w:val="es-MX"/>
        </w:rPr>
      </w:pPr>
    </w:p>
    <w:p w14:paraId="279FABF5" w14:textId="642B1E0A" w:rsidR="00987097" w:rsidRPr="00E30612" w:rsidRDefault="00F155E9" w:rsidP="00E30612">
      <w:pPr>
        <w:spacing w:line="360" w:lineRule="auto"/>
        <w:jc w:val="both"/>
        <w:rPr>
          <w:rFonts w:eastAsia="Times New Roman"/>
          <w:b/>
          <w:sz w:val="24"/>
          <w:szCs w:val="24"/>
          <w:lang w:val="es-MX"/>
        </w:rPr>
      </w:pPr>
      <w:r w:rsidRPr="00E30612">
        <w:rPr>
          <w:rFonts w:eastAsia="Times New Roman"/>
          <w:b/>
          <w:sz w:val="24"/>
          <w:szCs w:val="24"/>
          <w:lang w:val="es-MX"/>
        </w:rPr>
        <w:t>Inicios de la investigación</w:t>
      </w:r>
    </w:p>
    <w:p w14:paraId="3FFF5103" w14:textId="6A97533D" w:rsidR="00F155E9" w:rsidRDefault="00F155E9" w:rsidP="0014118C">
      <w:pPr>
        <w:spacing w:line="360" w:lineRule="auto"/>
        <w:jc w:val="both"/>
        <w:rPr>
          <w:rFonts w:eastAsiaTheme="minorHAnsi"/>
          <w:bCs/>
          <w:sz w:val="24"/>
          <w:szCs w:val="24"/>
        </w:rPr>
      </w:pPr>
      <w:r w:rsidRPr="00F155E9">
        <w:rPr>
          <w:rFonts w:eastAsia="Times New Roman"/>
          <w:sz w:val="24"/>
          <w:szCs w:val="24"/>
          <w:lang w:val="es-MX"/>
        </w:rPr>
        <w:t>La conformación del equipo interdisciplinario que</w:t>
      </w:r>
      <w:r w:rsidR="004A0578">
        <w:rPr>
          <w:rFonts w:eastAsia="Times New Roman"/>
          <w:sz w:val="24"/>
          <w:szCs w:val="24"/>
          <w:lang w:val="es-MX"/>
        </w:rPr>
        <w:t xml:space="preserve"> realiza el presente trabajo se</w:t>
      </w:r>
      <w:r w:rsidRPr="00F155E9">
        <w:rPr>
          <w:rFonts w:eastAsia="Times New Roman"/>
          <w:sz w:val="24"/>
          <w:szCs w:val="24"/>
          <w:lang w:val="es-MX"/>
        </w:rPr>
        <w:t xml:space="preserve"> dio en el</w:t>
      </w:r>
      <w:r w:rsidR="004A0578">
        <w:rPr>
          <w:rFonts w:eastAsia="Times New Roman"/>
          <w:sz w:val="24"/>
          <w:szCs w:val="24"/>
          <w:lang w:val="es-MX"/>
        </w:rPr>
        <w:t xml:space="preserve"> contexto de 2013, desarrollando un p</w:t>
      </w:r>
      <w:r w:rsidR="00570DCB">
        <w:rPr>
          <w:rFonts w:eastAsia="Times New Roman"/>
          <w:sz w:val="24"/>
          <w:szCs w:val="24"/>
          <w:lang w:val="es-MX"/>
        </w:rPr>
        <w:t>rimer proyecto de investigación.</w:t>
      </w:r>
      <w:r w:rsidR="00570DCB">
        <w:rPr>
          <w:rStyle w:val="Refdenotaalpie"/>
          <w:rFonts w:eastAsia="Times New Roman"/>
          <w:sz w:val="24"/>
          <w:szCs w:val="24"/>
          <w:lang w:val="es-MX"/>
        </w:rPr>
        <w:footnoteReference w:id="3"/>
      </w:r>
    </w:p>
    <w:p w14:paraId="6C6FA04C" w14:textId="023ADEBA" w:rsidR="00BD0120" w:rsidRPr="0063521C" w:rsidRDefault="00BD0120" w:rsidP="0063521C">
      <w:pPr>
        <w:spacing w:line="360" w:lineRule="auto"/>
        <w:jc w:val="both"/>
        <w:rPr>
          <w:rFonts w:eastAsiaTheme="minorHAnsi"/>
          <w:bCs/>
          <w:sz w:val="24"/>
          <w:szCs w:val="24"/>
        </w:rPr>
      </w:pPr>
      <w:r>
        <w:rPr>
          <w:rFonts w:eastAsiaTheme="minorHAnsi"/>
          <w:bCs/>
          <w:sz w:val="24"/>
          <w:szCs w:val="24"/>
        </w:rPr>
        <w:t>Luego del desarrollo d</w:t>
      </w:r>
      <w:r w:rsidR="00570DCB">
        <w:rPr>
          <w:rFonts w:eastAsiaTheme="minorHAnsi"/>
          <w:bCs/>
          <w:sz w:val="24"/>
          <w:szCs w:val="24"/>
        </w:rPr>
        <w:t>e esa primera</w:t>
      </w:r>
      <w:r>
        <w:rPr>
          <w:rFonts w:eastAsiaTheme="minorHAnsi"/>
          <w:bCs/>
          <w:sz w:val="24"/>
          <w:szCs w:val="24"/>
        </w:rPr>
        <w:t xml:space="preserve"> investigación que tenía como trabajo fundamental de base, un análisis comparativo de fuentes documentales, decidimos volcarnos hacia el trabajo empírico, realizando un relevamiento de </w:t>
      </w:r>
      <w:r w:rsidR="006B2FBC">
        <w:rPr>
          <w:rFonts w:eastAsiaTheme="minorHAnsi"/>
          <w:bCs/>
          <w:sz w:val="24"/>
          <w:szCs w:val="24"/>
        </w:rPr>
        <w:lastRenderedPageBreak/>
        <w:t>memorias biográfica</w:t>
      </w:r>
      <w:r>
        <w:rPr>
          <w:rFonts w:eastAsiaTheme="minorHAnsi"/>
          <w:bCs/>
          <w:sz w:val="24"/>
          <w:szCs w:val="24"/>
        </w:rPr>
        <w:t>s laborales de trabajadoras-es lácteos. En las</w:t>
      </w:r>
      <w:r w:rsidR="006B2FBC">
        <w:rPr>
          <w:rFonts w:eastAsiaTheme="minorHAnsi"/>
          <w:bCs/>
          <w:sz w:val="24"/>
          <w:szCs w:val="24"/>
        </w:rPr>
        <w:t xml:space="preserve"> que</w:t>
      </w:r>
      <w:r w:rsidR="00570DCB">
        <w:rPr>
          <w:rFonts w:eastAsiaTheme="minorHAnsi"/>
          <w:bCs/>
          <w:sz w:val="24"/>
          <w:szCs w:val="24"/>
        </w:rPr>
        <w:t>,</w:t>
      </w:r>
      <w:r w:rsidR="006B2FBC">
        <w:rPr>
          <w:rFonts w:eastAsiaTheme="minorHAnsi"/>
          <w:bCs/>
          <w:sz w:val="24"/>
          <w:szCs w:val="24"/>
        </w:rPr>
        <w:t xml:space="preserve"> hacer hincapié </w:t>
      </w:r>
      <w:r>
        <w:rPr>
          <w:rFonts w:eastAsiaTheme="minorHAnsi"/>
          <w:bCs/>
          <w:sz w:val="24"/>
          <w:szCs w:val="24"/>
        </w:rPr>
        <w:t>acerca de los aprendizajes sobre la noción de trabajo y derecho al trabajo, en los ámbitos familiar, escolar y laboral.</w:t>
      </w:r>
      <w:r w:rsidR="0063521C">
        <w:rPr>
          <w:rFonts w:eastAsiaTheme="minorHAnsi"/>
          <w:bCs/>
          <w:sz w:val="24"/>
          <w:szCs w:val="24"/>
        </w:rPr>
        <w:t xml:space="preserve"> </w:t>
      </w:r>
      <w:r>
        <w:rPr>
          <w:rFonts w:eastAsiaTheme="minorHAnsi"/>
          <w:bCs/>
          <w:sz w:val="24"/>
          <w:szCs w:val="24"/>
        </w:rPr>
        <w:t>Esta nueva investigación</w:t>
      </w:r>
      <w:r w:rsidR="00570DCB">
        <w:rPr>
          <w:rStyle w:val="Refdenotaalpie"/>
          <w:rFonts w:eastAsiaTheme="minorHAnsi"/>
          <w:bCs/>
          <w:sz w:val="24"/>
          <w:szCs w:val="24"/>
        </w:rPr>
        <w:footnoteReference w:id="4"/>
      </w:r>
      <w:r>
        <w:rPr>
          <w:rFonts w:eastAsiaTheme="minorHAnsi"/>
          <w:bCs/>
          <w:sz w:val="24"/>
          <w:szCs w:val="24"/>
        </w:rPr>
        <w:t>, implicó la inclusión de algunas-os nuevos integrantes al grupo de trabajo, lo cual permitió la realizaci</w:t>
      </w:r>
      <w:r w:rsidR="002522FA">
        <w:rPr>
          <w:rFonts w:eastAsiaTheme="minorHAnsi"/>
          <w:bCs/>
          <w:sz w:val="24"/>
          <w:szCs w:val="24"/>
        </w:rPr>
        <w:t xml:space="preserve">ón trabajo de campo con 30 </w:t>
      </w:r>
      <w:r>
        <w:rPr>
          <w:rFonts w:eastAsiaTheme="minorHAnsi"/>
          <w:bCs/>
          <w:sz w:val="24"/>
          <w:szCs w:val="24"/>
        </w:rPr>
        <w:t>entrevistadas-as de una fábrica con alrededor de 300 operarias-os.</w:t>
      </w:r>
      <w:r w:rsidR="00570DCB">
        <w:rPr>
          <w:rFonts w:eastAsiaTheme="minorHAnsi"/>
          <w:bCs/>
          <w:sz w:val="24"/>
          <w:szCs w:val="24"/>
        </w:rPr>
        <w:t xml:space="preserve"> </w:t>
      </w:r>
      <w:r w:rsidR="0063521C">
        <w:rPr>
          <w:rFonts w:eastAsiaTheme="minorHAnsi"/>
          <w:bCs/>
          <w:sz w:val="24"/>
          <w:szCs w:val="24"/>
        </w:rPr>
        <w:t>I</w:t>
      </w:r>
      <w:r w:rsidR="00D71703">
        <w:rPr>
          <w:bCs/>
          <w:sz w:val="24"/>
          <w:szCs w:val="24"/>
        </w:rPr>
        <w:t>nició con la pretens</w:t>
      </w:r>
      <w:r>
        <w:rPr>
          <w:bCs/>
          <w:sz w:val="24"/>
          <w:szCs w:val="24"/>
        </w:rPr>
        <w:t xml:space="preserve">ión de conocer de </w:t>
      </w:r>
      <w:r w:rsidR="00D17C4E">
        <w:rPr>
          <w:bCs/>
          <w:sz w:val="24"/>
          <w:szCs w:val="24"/>
        </w:rPr>
        <w:t>modo directo las concepcione</w:t>
      </w:r>
      <w:r>
        <w:rPr>
          <w:bCs/>
          <w:sz w:val="24"/>
          <w:szCs w:val="24"/>
        </w:rPr>
        <w:t>s</w:t>
      </w:r>
      <w:r w:rsidR="00D17C4E">
        <w:rPr>
          <w:bCs/>
          <w:sz w:val="24"/>
          <w:szCs w:val="24"/>
        </w:rPr>
        <w:t>/memorias</w:t>
      </w:r>
      <w:r>
        <w:rPr>
          <w:bCs/>
          <w:sz w:val="24"/>
          <w:szCs w:val="24"/>
        </w:rPr>
        <w:t xml:space="preserve"> que las-os trabajadoras-es lácteos poseen sobre sus aprendizajes en torno al </w:t>
      </w:r>
      <w:r w:rsidR="00D17C4E">
        <w:rPr>
          <w:bCs/>
          <w:sz w:val="24"/>
          <w:szCs w:val="24"/>
        </w:rPr>
        <w:t>trabajo y al derecho al trabajo. Y</w:t>
      </w:r>
      <w:r>
        <w:rPr>
          <w:bCs/>
          <w:sz w:val="24"/>
          <w:szCs w:val="24"/>
        </w:rPr>
        <w:t xml:space="preserve"> las asociaciones que realizan respecto de los lugares o contextos en los que han construido estos saberes (familia, escuela, </w:t>
      </w:r>
      <w:r w:rsidR="00D71703">
        <w:rPr>
          <w:bCs/>
          <w:sz w:val="24"/>
          <w:szCs w:val="24"/>
        </w:rPr>
        <w:t>puesto</w:t>
      </w:r>
      <w:r w:rsidR="009C17C8">
        <w:rPr>
          <w:bCs/>
          <w:sz w:val="24"/>
          <w:szCs w:val="24"/>
        </w:rPr>
        <w:t>s</w:t>
      </w:r>
      <w:r w:rsidR="00D71703">
        <w:rPr>
          <w:bCs/>
          <w:sz w:val="24"/>
          <w:szCs w:val="24"/>
        </w:rPr>
        <w:t xml:space="preserve"> de trabajo). A su vez, el contexto de desarrollo de las experiencias laborales de las-os trabajadoras-es de la fábrica seleccionada, implicaba un caso interesante</w:t>
      </w:r>
      <w:r w:rsidR="00751B93">
        <w:rPr>
          <w:bCs/>
          <w:sz w:val="24"/>
          <w:szCs w:val="24"/>
        </w:rPr>
        <w:t xml:space="preserve"> a analizar. D</w:t>
      </w:r>
      <w:r w:rsidR="00D71703">
        <w:rPr>
          <w:bCs/>
          <w:sz w:val="24"/>
          <w:szCs w:val="24"/>
        </w:rPr>
        <w:t>ebido a que existía una situación de trato diferencial en la masa de operarias-os (entre quien</w:t>
      </w:r>
      <w:r w:rsidR="00FD6D2D">
        <w:rPr>
          <w:bCs/>
          <w:sz w:val="24"/>
          <w:szCs w:val="24"/>
        </w:rPr>
        <w:t xml:space="preserve">es fabricaban yogures y postres, </w:t>
      </w:r>
      <w:r w:rsidR="00D71703">
        <w:rPr>
          <w:bCs/>
          <w:sz w:val="24"/>
          <w:szCs w:val="24"/>
        </w:rPr>
        <w:t>por un lado</w:t>
      </w:r>
      <w:r w:rsidR="00751B93">
        <w:rPr>
          <w:bCs/>
          <w:sz w:val="24"/>
          <w:szCs w:val="24"/>
        </w:rPr>
        <w:t>,</w:t>
      </w:r>
      <w:r w:rsidR="00D71703">
        <w:rPr>
          <w:bCs/>
          <w:sz w:val="24"/>
          <w:szCs w:val="24"/>
        </w:rPr>
        <w:t xml:space="preserve"> y quienes fabricaban el queso </w:t>
      </w:r>
      <w:proofErr w:type="spellStart"/>
      <w:r w:rsidR="00D71703">
        <w:rPr>
          <w:bCs/>
          <w:sz w:val="24"/>
          <w:szCs w:val="24"/>
        </w:rPr>
        <w:t>Mendicrim</w:t>
      </w:r>
      <w:proofErr w:type="spellEnd"/>
      <w:r w:rsidR="00CC4989">
        <w:rPr>
          <w:bCs/>
          <w:sz w:val="24"/>
          <w:szCs w:val="24"/>
        </w:rPr>
        <w:t>,</w:t>
      </w:r>
      <w:r w:rsidR="00D71703">
        <w:rPr>
          <w:bCs/>
          <w:sz w:val="24"/>
          <w:szCs w:val="24"/>
        </w:rPr>
        <w:t xml:space="preserve"> por otro). Con los primeros, la empresa empleadora, respetaba el convenio colectivo de trabajo en términos generales, mientras que, con el segundo grupo, se procedía a una quita mensual de un porcentaje del salario.</w:t>
      </w:r>
    </w:p>
    <w:p w14:paraId="300082B7" w14:textId="06AD2276" w:rsidR="00040B20" w:rsidRDefault="00D71703" w:rsidP="00BD0120">
      <w:pPr>
        <w:autoSpaceDE w:val="0"/>
        <w:autoSpaceDN w:val="0"/>
        <w:adjustRightInd w:val="0"/>
        <w:spacing w:line="360" w:lineRule="auto"/>
        <w:jc w:val="both"/>
        <w:rPr>
          <w:bCs/>
          <w:sz w:val="24"/>
          <w:szCs w:val="24"/>
        </w:rPr>
      </w:pPr>
      <w:r>
        <w:rPr>
          <w:bCs/>
          <w:sz w:val="24"/>
          <w:szCs w:val="24"/>
        </w:rPr>
        <w:t>En este sentido, y conociendo la peculiaridad del caso, decidimos establecer una perspectiva etnográfica para el relevamiento de las historias de vida de trabajadoras-es de ambos grupos.</w:t>
      </w:r>
      <w:r w:rsidR="007974CD">
        <w:rPr>
          <w:bCs/>
          <w:sz w:val="24"/>
          <w:szCs w:val="24"/>
        </w:rPr>
        <w:t xml:space="preserve"> </w:t>
      </w:r>
      <w:r>
        <w:rPr>
          <w:bCs/>
          <w:sz w:val="24"/>
          <w:szCs w:val="24"/>
        </w:rPr>
        <w:t>El grupo de trabajo para el relevamiento de campo y selección de entrevistadas-os se compuso por profesionales de la antropología y de la abogacía fundamentalmente, lo cual permitió realizar un recorte muy pertinente del caso, en base a un conocimiento en profundidad sobre los derechos que estaban siendo lesionados a las-os trabajadores.</w:t>
      </w:r>
    </w:p>
    <w:p w14:paraId="50B08F56" w14:textId="77777777" w:rsidR="00E30612" w:rsidRDefault="00E30612" w:rsidP="00E30612">
      <w:pPr>
        <w:autoSpaceDE w:val="0"/>
        <w:autoSpaceDN w:val="0"/>
        <w:adjustRightInd w:val="0"/>
        <w:spacing w:line="360" w:lineRule="auto"/>
        <w:jc w:val="both"/>
        <w:rPr>
          <w:b/>
          <w:bCs/>
          <w:sz w:val="24"/>
          <w:szCs w:val="24"/>
        </w:rPr>
      </w:pPr>
    </w:p>
    <w:p w14:paraId="7C221DA0" w14:textId="3C0D32CB" w:rsidR="00011BFB" w:rsidRPr="00E30612" w:rsidRDefault="000E31D3" w:rsidP="00E30612">
      <w:pPr>
        <w:autoSpaceDE w:val="0"/>
        <w:autoSpaceDN w:val="0"/>
        <w:adjustRightInd w:val="0"/>
        <w:spacing w:line="360" w:lineRule="auto"/>
        <w:jc w:val="both"/>
        <w:rPr>
          <w:b/>
          <w:bCs/>
          <w:sz w:val="24"/>
          <w:szCs w:val="24"/>
        </w:rPr>
      </w:pPr>
      <w:r w:rsidRPr="00E30612">
        <w:rPr>
          <w:b/>
          <w:bCs/>
          <w:sz w:val="24"/>
          <w:szCs w:val="24"/>
        </w:rPr>
        <w:t xml:space="preserve">Investigación etnográfica e </w:t>
      </w:r>
      <w:proofErr w:type="spellStart"/>
      <w:r w:rsidRPr="00E30612">
        <w:rPr>
          <w:b/>
          <w:bCs/>
          <w:sz w:val="24"/>
          <w:szCs w:val="24"/>
        </w:rPr>
        <w:t>interdisciplina</w:t>
      </w:r>
      <w:proofErr w:type="spellEnd"/>
      <w:r w:rsidRPr="00E30612">
        <w:rPr>
          <w:b/>
          <w:bCs/>
          <w:sz w:val="24"/>
          <w:szCs w:val="24"/>
        </w:rPr>
        <w:t xml:space="preserve">. </w:t>
      </w:r>
      <w:r w:rsidR="0063521C" w:rsidRPr="00E30612">
        <w:rPr>
          <w:rStyle w:val="Refdenotaalpie"/>
          <w:b/>
          <w:bCs/>
          <w:sz w:val="24"/>
          <w:szCs w:val="24"/>
        </w:rPr>
        <w:footnoteReference w:id="5"/>
      </w:r>
    </w:p>
    <w:p w14:paraId="4CF6C0B6" w14:textId="77777777" w:rsidR="00246CF2" w:rsidRPr="00246CF2" w:rsidRDefault="00246CF2" w:rsidP="00246CF2">
      <w:pPr>
        <w:spacing w:line="360" w:lineRule="auto"/>
        <w:jc w:val="both"/>
        <w:rPr>
          <w:rFonts w:eastAsia="Calibri"/>
          <w:sz w:val="24"/>
          <w:szCs w:val="24"/>
          <w:lang w:val="es-ES"/>
        </w:rPr>
      </w:pPr>
      <w:r w:rsidRPr="00246CF2">
        <w:rPr>
          <w:rFonts w:eastAsia="Calibri"/>
          <w:sz w:val="24"/>
          <w:szCs w:val="24"/>
          <w:lang w:val="es-ES"/>
        </w:rPr>
        <w:lastRenderedPageBreak/>
        <w:t xml:space="preserve">El comienzo del proyecto orientado al rescate y revalorización de memorias acerca de las trayectorias laborales de trabajadores/as de la industria láctea se remonta a inicios de 2018. En este proyecto intentamos pensar la cuestión de las memorias de los-as trabajadores-as en el sentido que le otorga </w:t>
      </w:r>
      <w:proofErr w:type="spellStart"/>
      <w:r w:rsidRPr="00246CF2">
        <w:rPr>
          <w:rFonts w:eastAsia="Calibri"/>
          <w:sz w:val="24"/>
          <w:szCs w:val="24"/>
          <w:lang w:val="es-ES"/>
        </w:rPr>
        <w:t>Halbwachs</w:t>
      </w:r>
      <w:proofErr w:type="spellEnd"/>
      <w:r w:rsidRPr="00246CF2">
        <w:rPr>
          <w:rFonts w:eastAsia="Calibri"/>
          <w:sz w:val="24"/>
          <w:szCs w:val="24"/>
          <w:lang w:val="es-ES"/>
        </w:rPr>
        <w:t xml:space="preserve"> a las memorias colectivas y sus marcos sociales de producción. </w:t>
      </w:r>
      <w:r w:rsidRPr="00246CF2">
        <w:rPr>
          <w:rFonts w:eastAsia="Calibri"/>
          <w:sz w:val="24"/>
          <w:szCs w:val="24"/>
          <w:lang w:val="es-AR"/>
        </w:rPr>
        <w:t xml:space="preserve">Es decir, entendiendo a las memorias colectivas como sistemas de creencias y pensamientos sociales: </w:t>
      </w:r>
    </w:p>
    <w:p w14:paraId="314BEC8C" w14:textId="77777777" w:rsidR="00246CF2" w:rsidRPr="0051271A" w:rsidRDefault="00246CF2" w:rsidP="0051271A">
      <w:pPr>
        <w:spacing w:line="240" w:lineRule="auto"/>
        <w:ind w:left="714"/>
        <w:jc w:val="both"/>
        <w:rPr>
          <w:rFonts w:eastAsia="Calibri"/>
          <w:sz w:val="20"/>
          <w:szCs w:val="20"/>
          <w:lang w:val="es-AR"/>
        </w:rPr>
      </w:pPr>
      <w:r w:rsidRPr="0051271A">
        <w:rPr>
          <w:rFonts w:eastAsia="Calibri"/>
          <w:sz w:val="20"/>
          <w:szCs w:val="20"/>
          <w:lang w:val="es-AR"/>
        </w:rPr>
        <w:t xml:space="preserve">[L]as creencias sociales, </w:t>
      </w:r>
      <w:proofErr w:type="spellStart"/>
      <w:r w:rsidRPr="0051271A">
        <w:rPr>
          <w:rFonts w:eastAsia="Calibri"/>
          <w:sz w:val="20"/>
          <w:szCs w:val="20"/>
          <w:lang w:val="es-AR"/>
        </w:rPr>
        <w:t>cualesquiera</w:t>
      </w:r>
      <w:proofErr w:type="spellEnd"/>
      <w:r w:rsidRPr="0051271A">
        <w:rPr>
          <w:rFonts w:eastAsia="Calibri"/>
          <w:sz w:val="20"/>
          <w:szCs w:val="20"/>
          <w:lang w:val="es-AR"/>
        </w:rPr>
        <w:t xml:space="preserve"> que sea su origen, tienen una doble condición: son unas tradiciones o </w:t>
      </w:r>
      <w:bookmarkStart w:id="0" w:name="_GoBack"/>
      <w:bookmarkEnd w:id="0"/>
      <w:r w:rsidRPr="0051271A">
        <w:rPr>
          <w:rFonts w:eastAsia="Calibri"/>
          <w:sz w:val="20"/>
          <w:szCs w:val="20"/>
          <w:lang w:val="es-AR"/>
        </w:rPr>
        <w:t>unos recuerdos colectivos pero también son unas ideas o unas convenciones que resultan del conocimiento del presente. […] en realidad las ideas actuales son también unas tradiciones, tanto unas como otras, invocan al mismo tiempo y con la misma propiedad una vida social pasada o reciente, en dónde probablemente estas ideas han tomado impulso.</w:t>
      </w:r>
    </w:p>
    <w:p w14:paraId="48BE75F3" w14:textId="5EB84FAF" w:rsidR="00246CF2" w:rsidRPr="0051271A" w:rsidRDefault="00246CF2" w:rsidP="0051271A">
      <w:pPr>
        <w:spacing w:line="240" w:lineRule="auto"/>
        <w:ind w:left="714"/>
        <w:jc w:val="both"/>
        <w:rPr>
          <w:rFonts w:eastAsia="Calibri"/>
          <w:sz w:val="20"/>
          <w:szCs w:val="20"/>
          <w:lang w:val="es-AR"/>
        </w:rPr>
      </w:pPr>
      <w:r w:rsidRPr="0051271A">
        <w:rPr>
          <w:rFonts w:eastAsia="Calibri"/>
          <w:sz w:val="20"/>
          <w:szCs w:val="20"/>
          <w:lang w:val="es-AR"/>
        </w:rPr>
        <w:t>El pensamiento social es básicamente una memoria […] todo su contenido está hecho de recuerdos colectivos, pero solo permanecen presentes en la sociedad, esos recuerdos que la sociedad, trabajando sobre sus marcos actuales, puede reconstruir. (</w:t>
      </w:r>
      <w:proofErr w:type="spellStart"/>
      <w:r w:rsidRPr="0051271A">
        <w:rPr>
          <w:rFonts w:eastAsia="Calibri"/>
          <w:sz w:val="20"/>
          <w:szCs w:val="20"/>
          <w:lang w:val="es-AR"/>
        </w:rPr>
        <w:t>Halbwachs</w:t>
      </w:r>
      <w:proofErr w:type="spellEnd"/>
      <w:r w:rsidRPr="0051271A">
        <w:rPr>
          <w:rFonts w:eastAsia="Calibri"/>
          <w:sz w:val="20"/>
          <w:szCs w:val="20"/>
          <w:lang w:val="es-AR"/>
        </w:rPr>
        <w:t>, 2004: 343- 344).</w:t>
      </w:r>
    </w:p>
    <w:p w14:paraId="5FD5D0AD" w14:textId="77777777" w:rsidR="00570DCB" w:rsidRPr="00E91E29" w:rsidRDefault="00570DCB" w:rsidP="00570DCB">
      <w:pPr>
        <w:spacing w:before="240" w:line="240" w:lineRule="auto"/>
        <w:ind w:left="714"/>
        <w:jc w:val="both"/>
        <w:rPr>
          <w:rFonts w:eastAsia="Calibri"/>
          <w:sz w:val="24"/>
          <w:szCs w:val="24"/>
          <w:lang w:val="es-AR"/>
        </w:rPr>
      </w:pPr>
    </w:p>
    <w:p w14:paraId="75084B02" w14:textId="12F67747" w:rsidR="00570DCB" w:rsidRDefault="00E91E29" w:rsidP="00E91E29">
      <w:pPr>
        <w:spacing w:line="360" w:lineRule="auto"/>
        <w:jc w:val="both"/>
        <w:rPr>
          <w:rFonts w:eastAsia="Calibri"/>
          <w:sz w:val="24"/>
          <w:szCs w:val="24"/>
          <w:lang w:val="es-AR"/>
        </w:rPr>
      </w:pPr>
      <w:r w:rsidRPr="00E91E29">
        <w:rPr>
          <w:rFonts w:eastAsia="Calibri"/>
          <w:sz w:val="24"/>
          <w:szCs w:val="24"/>
          <w:lang w:val="es-AR"/>
        </w:rPr>
        <w:t xml:space="preserve">Asumimos las premisas del autor respecto de las influencias de la espacialidad y la clase social en la constitución de las memorias colectivas, dos indicadores fundamentales a tener en cuenta en el caso etnográfico que analizamos. Sin embargo, nos interesó también hacer referencia a la crítica de </w:t>
      </w:r>
      <w:proofErr w:type="spellStart"/>
      <w:r w:rsidRPr="00E91E29">
        <w:rPr>
          <w:rFonts w:eastAsia="Calibri"/>
          <w:sz w:val="24"/>
          <w:szCs w:val="24"/>
          <w:lang w:val="es-AR"/>
        </w:rPr>
        <w:t>Pollak</w:t>
      </w:r>
      <w:proofErr w:type="spellEnd"/>
      <w:r w:rsidRPr="00E91E29">
        <w:rPr>
          <w:rFonts w:eastAsia="Calibri"/>
          <w:sz w:val="24"/>
          <w:szCs w:val="24"/>
          <w:lang w:val="es-AR"/>
        </w:rPr>
        <w:t xml:space="preserve"> sobre el enfoque </w:t>
      </w:r>
      <w:proofErr w:type="spellStart"/>
      <w:r w:rsidRPr="00E91E29">
        <w:rPr>
          <w:rFonts w:eastAsia="Calibri"/>
          <w:sz w:val="24"/>
          <w:szCs w:val="24"/>
          <w:lang w:val="es-AR"/>
        </w:rPr>
        <w:t>durkheimiano</w:t>
      </w:r>
      <w:proofErr w:type="spellEnd"/>
      <w:r w:rsidRPr="00E91E29">
        <w:rPr>
          <w:rFonts w:eastAsia="Calibri"/>
          <w:sz w:val="24"/>
          <w:szCs w:val="24"/>
          <w:lang w:val="es-AR"/>
        </w:rPr>
        <w:t xml:space="preserve"> que constituye la base de las ideas de </w:t>
      </w:r>
      <w:proofErr w:type="spellStart"/>
      <w:r w:rsidRPr="00E91E29">
        <w:rPr>
          <w:rFonts w:eastAsia="Calibri"/>
          <w:sz w:val="24"/>
          <w:szCs w:val="24"/>
          <w:lang w:val="es-AR"/>
        </w:rPr>
        <w:t>Halbwachs</w:t>
      </w:r>
      <w:proofErr w:type="spellEnd"/>
      <w:r w:rsidRPr="00E91E29">
        <w:rPr>
          <w:rFonts w:eastAsia="Calibri"/>
          <w:sz w:val="24"/>
          <w:szCs w:val="24"/>
          <w:lang w:val="es-AR"/>
        </w:rPr>
        <w:t xml:space="preserve"> en relación a la memoria colectiva.</w:t>
      </w:r>
      <w:r>
        <w:rPr>
          <w:rFonts w:eastAsia="Calibri"/>
          <w:sz w:val="24"/>
          <w:szCs w:val="24"/>
          <w:lang w:val="es-AR"/>
        </w:rPr>
        <w:t xml:space="preserve"> </w:t>
      </w:r>
      <w:r w:rsidRPr="00E91E29">
        <w:rPr>
          <w:rFonts w:eastAsia="Calibri"/>
          <w:sz w:val="24"/>
          <w:szCs w:val="24"/>
          <w:lang w:val="es-AR"/>
        </w:rPr>
        <w:t xml:space="preserve">En el abordaje </w:t>
      </w:r>
      <w:proofErr w:type="spellStart"/>
      <w:r w:rsidRPr="00E91E29">
        <w:rPr>
          <w:rFonts w:eastAsia="Calibri"/>
          <w:sz w:val="24"/>
          <w:szCs w:val="24"/>
          <w:lang w:val="es-AR"/>
        </w:rPr>
        <w:t>durkheimiano</w:t>
      </w:r>
      <w:proofErr w:type="spellEnd"/>
      <w:r w:rsidRPr="00E91E29">
        <w:rPr>
          <w:rFonts w:eastAsia="Calibri"/>
          <w:sz w:val="24"/>
          <w:szCs w:val="24"/>
          <w:lang w:val="es-AR"/>
        </w:rPr>
        <w:t xml:space="preserve">, el énfasis está </w:t>
      </w:r>
      <w:r w:rsidRPr="00E91E29">
        <w:rPr>
          <w:rFonts w:eastAsia="Calibri"/>
          <w:sz w:val="24"/>
          <w:szCs w:val="24"/>
          <w:lang w:val="es-AR"/>
        </w:rPr>
        <w:lastRenderedPageBreak/>
        <w:t xml:space="preserve">puesto en la fuerza casi institucional de esa memoria colectiva, en la duración, en la continuidad y en la estabilidad. De la misma forma </w:t>
      </w:r>
      <w:proofErr w:type="spellStart"/>
      <w:r w:rsidRPr="00E91E29">
        <w:rPr>
          <w:rFonts w:eastAsia="Calibri"/>
          <w:sz w:val="24"/>
          <w:szCs w:val="24"/>
          <w:lang w:val="es-AR"/>
        </w:rPr>
        <w:t>Halbwachs</w:t>
      </w:r>
      <w:proofErr w:type="spellEnd"/>
      <w:r w:rsidR="00570DCB">
        <w:rPr>
          <w:rFonts w:eastAsia="Calibri"/>
          <w:sz w:val="24"/>
          <w:szCs w:val="24"/>
          <w:lang w:val="es-AR"/>
        </w:rPr>
        <w:t>:</w:t>
      </w:r>
    </w:p>
    <w:p w14:paraId="36E55518" w14:textId="77777777" w:rsidR="00E30612" w:rsidRPr="0051271A" w:rsidRDefault="00E91E29" w:rsidP="00E30612">
      <w:pPr>
        <w:spacing w:line="240" w:lineRule="auto"/>
        <w:ind w:left="714"/>
        <w:jc w:val="both"/>
        <w:rPr>
          <w:rFonts w:eastAsia="Calibri"/>
          <w:sz w:val="20"/>
          <w:szCs w:val="20"/>
          <w:lang w:val="es-AR"/>
        </w:rPr>
      </w:pPr>
      <w:r w:rsidRPr="0051271A">
        <w:rPr>
          <w:rFonts w:eastAsia="Calibri"/>
          <w:sz w:val="20"/>
          <w:szCs w:val="20"/>
          <w:lang w:val="es-AR"/>
        </w:rPr>
        <w:t>[…</w:t>
      </w:r>
      <w:proofErr w:type="gramStart"/>
      <w:r w:rsidRPr="0051271A">
        <w:rPr>
          <w:rFonts w:eastAsia="Calibri"/>
          <w:sz w:val="20"/>
          <w:szCs w:val="20"/>
          <w:lang w:val="es-AR"/>
        </w:rPr>
        <w:t>]acentúa</w:t>
      </w:r>
      <w:proofErr w:type="gramEnd"/>
      <w:r w:rsidRPr="0051271A">
        <w:rPr>
          <w:rFonts w:eastAsia="Calibri"/>
          <w:sz w:val="20"/>
          <w:szCs w:val="20"/>
          <w:lang w:val="es-AR"/>
        </w:rPr>
        <w:t xml:space="preserve"> las funciones positivas desempeñadas por la memoria común, a saber, reforzar la cohesión social, no mediante la coerción sino mediante la adhesión afectiva al grupo; de allí el término que utiliza “comunidad afectiva”.</w:t>
      </w:r>
    </w:p>
    <w:p w14:paraId="275A1E8B" w14:textId="16FE3AE9" w:rsidR="00E91E29" w:rsidRPr="0051271A" w:rsidRDefault="00E91E29" w:rsidP="00E30612">
      <w:pPr>
        <w:spacing w:line="240" w:lineRule="auto"/>
        <w:ind w:left="714"/>
        <w:jc w:val="both"/>
        <w:rPr>
          <w:rFonts w:eastAsia="Calibri"/>
          <w:sz w:val="20"/>
          <w:szCs w:val="20"/>
          <w:lang w:val="es-AR"/>
        </w:rPr>
      </w:pPr>
      <w:r w:rsidRPr="0051271A">
        <w:rPr>
          <w:rFonts w:eastAsia="Calibri"/>
          <w:sz w:val="20"/>
          <w:szCs w:val="20"/>
          <w:lang w:val="es-AR"/>
        </w:rPr>
        <w:t>En varios momentos […</w:t>
      </w:r>
      <w:proofErr w:type="gramStart"/>
      <w:r w:rsidRPr="0051271A">
        <w:rPr>
          <w:rFonts w:eastAsia="Calibri"/>
          <w:sz w:val="20"/>
          <w:szCs w:val="20"/>
          <w:lang w:val="es-AR"/>
        </w:rPr>
        <w:t>]sugiere</w:t>
      </w:r>
      <w:proofErr w:type="gramEnd"/>
      <w:r w:rsidRPr="0051271A">
        <w:rPr>
          <w:rFonts w:eastAsia="Calibri"/>
          <w:sz w:val="20"/>
          <w:szCs w:val="20"/>
          <w:lang w:val="es-AR"/>
        </w:rPr>
        <w:t xml:space="preserve"> no sólo la selectividad de toda memo</w:t>
      </w:r>
      <w:r w:rsidR="004F46AB" w:rsidRPr="0051271A">
        <w:rPr>
          <w:rFonts w:eastAsia="Calibri"/>
          <w:sz w:val="20"/>
          <w:szCs w:val="20"/>
          <w:lang w:val="es-AR"/>
        </w:rPr>
        <w:t>ria sino también un proceso de “negociación”</w:t>
      </w:r>
      <w:r w:rsidRPr="0051271A">
        <w:rPr>
          <w:rFonts w:eastAsia="Calibri"/>
          <w:sz w:val="20"/>
          <w:szCs w:val="20"/>
          <w:lang w:val="es-AR"/>
        </w:rPr>
        <w:t xml:space="preserve"> para conciliar la memoria colectiva y las memorias individuales […]</w:t>
      </w:r>
    </w:p>
    <w:p w14:paraId="475273E4" w14:textId="2ED142B4" w:rsidR="00E91E29" w:rsidRPr="0051271A" w:rsidRDefault="00E91E29" w:rsidP="00E30612">
      <w:pPr>
        <w:spacing w:line="240" w:lineRule="auto"/>
        <w:ind w:left="714"/>
        <w:jc w:val="both"/>
        <w:rPr>
          <w:rFonts w:eastAsia="Calibri"/>
          <w:sz w:val="20"/>
          <w:szCs w:val="20"/>
          <w:lang w:val="es-AR"/>
        </w:rPr>
      </w:pPr>
      <w:r w:rsidRPr="0051271A">
        <w:rPr>
          <w:rFonts w:eastAsia="Calibri"/>
          <w:sz w:val="20"/>
          <w:szCs w:val="20"/>
          <w:lang w:val="es-AR"/>
        </w:rPr>
        <w:t>Este reconocimiento del carácter potencialmente problemático de una memoria colectiva ya anuncia la inversión de perspectiva que marca los trabajos actuales sobre este fenómeno.  (</w:t>
      </w:r>
      <w:proofErr w:type="spellStart"/>
      <w:r w:rsidRPr="0051271A">
        <w:rPr>
          <w:rFonts w:eastAsia="Calibri"/>
          <w:sz w:val="20"/>
          <w:szCs w:val="20"/>
          <w:lang w:val="es-AR"/>
        </w:rPr>
        <w:t>Pollak</w:t>
      </w:r>
      <w:proofErr w:type="spellEnd"/>
      <w:r w:rsidRPr="0051271A">
        <w:rPr>
          <w:rFonts w:eastAsia="Calibri"/>
          <w:sz w:val="20"/>
          <w:szCs w:val="20"/>
          <w:lang w:val="es-AR"/>
        </w:rPr>
        <w:t>, 2006: 17- 18)</w:t>
      </w:r>
    </w:p>
    <w:p w14:paraId="2CF8C55D" w14:textId="77777777" w:rsidR="00570DCB" w:rsidRDefault="00570DCB" w:rsidP="00E30612">
      <w:pPr>
        <w:spacing w:line="240" w:lineRule="auto"/>
        <w:ind w:left="714"/>
        <w:jc w:val="both"/>
        <w:rPr>
          <w:rFonts w:eastAsia="Calibri"/>
          <w:sz w:val="24"/>
          <w:szCs w:val="24"/>
          <w:lang w:val="es-AR"/>
        </w:rPr>
      </w:pPr>
    </w:p>
    <w:p w14:paraId="018FDAB0" w14:textId="49DC2977" w:rsidR="00040B20" w:rsidRDefault="004F46AB" w:rsidP="00E91E29">
      <w:pPr>
        <w:spacing w:line="360" w:lineRule="auto"/>
        <w:jc w:val="both"/>
        <w:rPr>
          <w:rFonts w:eastAsia="Calibri"/>
          <w:sz w:val="24"/>
          <w:szCs w:val="24"/>
          <w:lang w:val="es-AR"/>
        </w:rPr>
      </w:pPr>
      <w:r>
        <w:rPr>
          <w:rFonts w:eastAsia="Calibri"/>
          <w:sz w:val="24"/>
          <w:szCs w:val="24"/>
          <w:lang w:val="es-AR"/>
        </w:rPr>
        <w:t xml:space="preserve">Este comentario de </w:t>
      </w:r>
      <w:proofErr w:type="spellStart"/>
      <w:r>
        <w:rPr>
          <w:rFonts w:eastAsia="Calibri"/>
          <w:sz w:val="24"/>
          <w:szCs w:val="24"/>
          <w:lang w:val="es-AR"/>
        </w:rPr>
        <w:t>Pollak</w:t>
      </w:r>
      <w:proofErr w:type="spellEnd"/>
      <w:r>
        <w:rPr>
          <w:rFonts w:eastAsia="Calibri"/>
          <w:sz w:val="24"/>
          <w:szCs w:val="24"/>
          <w:lang w:val="es-AR"/>
        </w:rPr>
        <w:t>, implica entonces, la advertencia acerca de la necesidad de pensar a las memorias como territorios de lucha, espacios de confrontación discursiva y práctica en los que se disputa el poder de nombrar el pasado, y a su vez, dar sentido al presente.</w:t>
      </w:r>
      <w:r w:rsidR="0063521C">
        <w:rPr>
          <w:rFonts w:eastAsia="Calibri"/>
          <w:sz w:val="24"/>
          <w:szCs w:val="24"/>
          <w:lang w:val="es-AR"/>
        </w:rPr>
        <w:t xml:space="preserve"> De este modo</w:t>
      </w:r>
      <w:r w:rsidR="00040B20">
        <w:rPr>
          <w:rFonts w:eastAsia="Calibri"/>
          <w:sz w:val="24"/>
          <w:szCs w:val="24"/>
          <w:lang w:val="es-AR"/>
        </w:rPr>
        <w:t>, nos abocamos a recuperar las memorias de aprendizaje en las-os operarias-os des</w:t>
      </w:r>
      <w:r w:rsidR="00C74E4A">
        <w:rPr>
          <w:rFonts w:eastAsia="Calibri"/>
          <w:sz w:val="24"/>
          <w:szCs w:val="24"/>
          <w:lang w:val="es-AR"/>
        </w:rPr>
        <w:t xml:space="preserve">de una perspectiva etnográfica </w:t>
      </w:r>
      <w:r w:rsidR="00040B20">
        <w:rPr>
          <w:rFonts w:eastAsia="Calibri"/>
          <w:sz w:val="24"/>
          <w:szCs w:val="24"/>
          <w:lang w:val="es-AR"/>
        </w:rPr>
        <w:t>que</w:t>
      </w:r>
      <w:r w:rsidR="00C74E4A">
        <w:rPr>
          <w:rFonts w:eastAsia="Calibri"/>
          <w:sz w:val="24"/>
          <w:szCs w:val="24"/>
          <w:lang w:val="es-AR"/>
        </w:rPr>
        <w:t>,</w:t>
      </w:r>
      <w:r w:rsidR="00040B20">
        <w:rPr>
          <w:rFonts w:eastAsia="Calibri"/>
          <w:sz w:val="24"/>
          <w:szCs w:val="24"/>
          <w:lang w:val="es-AR"/>
        </w:rPr>
        <w:t xml:space="preserve"> sin embargo, incluyó un trabajo de consulta en profundidad con el compañero abogado del grupo de investigación, que nos fue asesorando respecto de las sistemáticas lesiones a los derechos laborales que sufría la masa de trabajadoras-es en general y el grupo que producía el Queso </w:t>
      </w:r>
      <w:proofErr w:type="spellStart"/>
      <w:r w:rsidR="00040B20">
        <w:rPr>
          <w:rFonts w:eastAsia="Calibri"/>
          <w:sz w:val="24"/>
          <w:szCs w:val="24"/>
          <w:lang w:val="es-AR"/>
        </w:rPr>
        <w:t>Mendicrim</w:t>
      </w:r>
      <w:proofErr w:type="spellEnd"/>
      <w:r w:rsidR="00040B20">
        <w:rPr>
          <w:rFonts w:eastAsia="Calibri"/>
          <w:sz w:val="24"/>
          <w:szCs w:val="24"/>
          <w:lang w:val="es-AR"/>
        </w:rPr>
        <w:t xml:space="preserve"> en particular. Estos datos de orden jurídico, fueron decisivos a la hora de recortar el referente empírico para el trabajo en territorio.</w:t>
      </w:r>
      <w:r w:rsidR="007974CD">
        <w:rPr>
          <w:rFonts w:eastAsia="Calibri"/>
          <w:sz w:val="24"/>
          <w:szCs w:val="24"/>
          <w:lang w:val="es-AR"/>
        </w:rPr>
        <w:t xml:space="preserve"> </w:t>
      </w:r>
      <w:r w:rsidR="00040B20">
        <w:rPr>
          <w:rFonts w:eastAsia="Calibri"/>
          <w:sz w:val="24"/>
          <w:szCs w:val="24"/>
          <w:lang w:val="es-AR"/>
        </w:rPr>
        <w:t>Así, las decisiones sobre delimitación del referente empírico y la delimitación del objeto de estudio, se construyeron desde el inicio como un trabajo conjunto dónde la Antropología y el Derecho, aportaban miradas que debían articularse para poder pensar en forma conjunta la problemática a investigar.</w:t>
      </w:r>
    </w:p>
    <w:p w14:paraId="3226B12C" w14:textId="77777777" w:rsidR="00E30612" w:rsidRDefault="00E30612" w:rsidP="00E91E29">
      <w:pPr>
        <w:spacing w:line="360" w:lineRule="auto"/>
        <w:jc w:val="both"/>
        <w:rPr>
          <w:rFonts w:eastAsia="Calibri"/>
          <w:sz w:val="24"/>
          <w:szCs w:val="24"/>
          <w:lang w:val="es-AR"/>
        </w:rPr>
      </w:pPr>
    </w:p>
    <w:p w14:paraId="278CCB47" w14:textId="250FF9B2" w:rsidR="00040B20" w:rsidRPr="00E30612" w:rsidRDefault="00040B20" w:rsidP="00E30612">
      <w:pPr>
        <w:pStyle w:val="Prrafodelista"/>
        <w:autoSpaceDE w:val="0"/>
        <w:autoSpaceDN w:val="0"/>
        <w:adjustRightInd w:val="0"/>
        <w:spacing w:line="360" w:lineRule="auto"/>
        <w:ind w:left="0"/>
        <w:jc w:val="both"/>
        <w:rPr>
          <w:b/>
          <w:bCs/>
          <w:sz w:val="24"/>
          <w:szCs w:val="24"/>
        </w:rPr>
      </w:pPr>
      <w:r w:rsidRPr="00E30612">
        <w:rPr>
          <w:b/>
          <w:bCs/>
          <w:sz w:val="24"/>
          <w:szCs w:val="24"/>
        </w:rPr>
        <w:t xml:space="preserve">Acercamiento descriptivo e intervención profesional en la lucha de las-os trabajadores del </w:t>
      </w:r>
      <w:proofErr w:type="spellStart"/>
      <w:r w:rsidRPr="00E30612">
        <w:rPr>
          <w:b/>
          <w:bCs/>
          <w:sz w:val="24"/>
          <w:szCs w:val="24"/>
        </w:rPr>
        <w:t>Mendicrim</w:t>
      </w:r>
      <w:proofErr w:type="spellEnd"/>
      <w:r w:rsidRPr="00E30612">
        <w:rPr>
          <w:b/>
          <w:bCs/>
          <w:sz w:val="24"/>
          <w:szCs w:val="24"/>
        </w:rPr>
        <w:t>, por recuperar los puestos de trabajo.</w:t>
      </w:r>
    </w:p>
    <w:p w14:paraId="4C54DA60" w14:textId="19EAD1B2" w:rsidR="00B76390" w:rsidRDefault="00B76390" w:rsidP="009E40B7">
      <w:pPr>
        <w:pStyle w:val="Prrafodelista"/>
        <w:autoSpaceDE w:val="0"/>
        <w:autoSpaceDN w:val="0"/>
        <w:adjustRightInd w:val="0"/>
        <w:spacing w:line="360" w:lineRule="auto"/>
        <w:ind w:left="0"/>
        <w:jc w:val="both"/>
        <w:rPr>
          <w:bCs/>
          <w:sz w:val="24"/>
          <w:szCs w:val="24"/>
        </w:rPr>
      </w:pPr>
      <w:r>
        <w:rPr>
          <w:bCs/>
          <w:sz w:val="24"/>
          <w:szCs w:val="24"/>
        </w:rPr>
        <w:t>A medida que í</w:t>
      </w:r>
      <w:r w:rsidR="009E40B7">
        <w:rPr>
          <w:bCs/>
          <w:sz w:val="24"/>
          <w:szCs w:val="24"/>
        </w:rPr>
        <w:t xml:space="preserve">bamos realizando nuestras entrevistas, el proceso de precarización de las-os operarias-os que elaboraban el Queso </w:t>
      </w:r>
      <w:proofErr w:type="spellStart"/>
      <w:r w:rsidR="009E40B7">
        <w:rPr>
          <w:bCs/>
          <w:sz w:val="24"/>
          <w:szCs w:val="24"/>
        </w:rPr>
        <w:t>Mendicrim</w:t>
      </w:r>
      <w:proofErr w:type="spellEnd"/>
      <w:r w:rsidR="009E40B7">
        <w:rPr>
          <w:bCs/>
          <w:sz w:val="24"/>
          <w:szCs w:val="24"/>
        </w:rPr>
        <w:t xml:space="preserve"> se fue profundizando, hasta el año 2019 en que fueron sometidos a un despido indebido. Las-os trabajadores, indicaban en sus entrevistas que los aprendizajes sobre el trabajo no se habían realizado en la educación formal, sino en la educación familiar y laboral. </w:t>
      </w:r>
    </w:p>
    <w:p w14:paraId="55EC27B9" w14:textId="0924775E" w:rsidR="007974CD" w:rsidRPr="0051271A" w:rsidRDefault="00B76390" w:rsidP="0051271A">
      <w:pPr>
        <w:spacing w:line="240" w:lineRule="auto"/>
        <w:ind w:left="714"/>
        <w:jc w:val="both"/>
        <w:rPr>
          <w:rFonts w:eastAsia="Calibri"/>
          <w:sz w:val="20"/>
          <w:szCs w:val="20"/>
          <w:lang w:val="es-ES"/>
        </w:rPr>
      </w:pPr>
      <w:r w:rsidRPr="0051271A">
        <w:rPr>
          <w:sz w:val="20"/>
          <w:szCs w:val="20"/>
          <w:lang w:val="es-MX"/>
        </w:rPr>
        <w:lastRenderedPageBreak/>
        <w:t>El programa de estudio y demás yo no escuche nunca de primaria o secundaria decir, hablar del trabajo en sí, yo al menos no lo recuerdo y no lo tengo presente. La concepción del trabajo es como yo te enumeré antes, mi viejo era o trabajas o estudias.</w:t>
      </w:r>
      <w:r w:rsidR="00096FCA" w:rsidRPr="0051271A">
        <w:rPr>
          <w:rFonts w:eastAsia="Calibri"/>
          <w:sz w:val="20"/>
          <w:szCs w:val="20"/>
          <w:lang w:val="es-ES"/>
        </w:rPr>
        <w:t xml:space="preserve"> (Comunicaci</w:t>
      </w:r>
      <w:r w:rsidR="005105E5" w:rsidRPr="0051271A">
        <w:rPr>
          <w:rFonts w:eastAsia="Calibri"/>
          <w:sz w:val="20"/>
          <w:szCs w:val="20"/>
          <w:lang w:val="es-ES"/>
        </w:rPr>
        <w:t>ón personal. Entrevistado</w:t>
      </w:r>
      <w:r w:rsidR="00096FCA" w:rsidRPr="0051271A">
        <w:rPr>
          <w:rFonts w:eastAsia="Calibri"/>
          <w:sz w:val="20"/>
          <w:szCs w:val="20"/>
          <w:lang w:val="es-ES"/>
        </w:rPr>
        <w:t>: Joel, 17/02/2018)</w:t>
      </w:r>
    </w:p>
    <w:p w14:paraId="5075F4CF" w14:textId="0C61F34A" w:rsidR="00096FCA" w:rsidRDefault="009E40B7" w:rsidP="0051271A">
      <w:pPr>
        <w:pStyle w:val="Prrafodelista"/>
        <w:autoSpaceDE w:val="0"/>
        <w:autoSpaceDN w:val="0"/>
        <w:adjustRightInd w:val="0"/>
        <w:spacing w:before="240" w:line="360" w:lineRule="auto"/>
        <w:ind w:left="0"/>
        <w:jc w:val="both"/>
        <w:rPr>
          <w:bCs/>
          <w:sz w:val="24"/>
          <w:szCs w:val="24"/>
        </w:rPr>
      </w:pPr>
      <w:r>
        <w:rPr>
          <w:bCs/>
          <w:sz w:val="24"/>
          <w:szCs w:val="24"/>
        </w:rPr>
        <w:t xml:space="preserve">Por otro lado, sólo las-os trabajadoras-es más jóvenes manifestaban al espacio de Formación Ética y Ciudadana </w:t>
      </w:r>
      <w:r w:rsidR="00096FCA">
        <w:rPr>
          <w:bCs/>
          <w:sz w:val="24"/>
          <w:szCs w:val="24"/>
        </w:rPr>
        <w:t xml:space="preserve">o Instrucción Cívica </w:t>
      </w:r>
      <w:r>
        <w:rPr>
          <w:bCs/>
          <w:sz w:val="24"/>
          <w:szCs w:val="24"/>
        </w:rPr>
        <w:t>del nivel secundario como el lugar en el que habían aprendido algunas cuestiones sobre derechos labora</w:t>
      </w:r>
      <w:r w:rsidR="00682CDB">
        <w:rPr>
          <w:bCs/>
          <w:sz w:val="24"/>
          <w:szCs w:val="24"/>
        </w:rPr>
        <w:t>les, pero que no adquirieron significancia</w:t>
      </w:r>
      <w:r w:rsidR="00C74E4A">
        <w:rPr>
          <w:rStyle w:val="Refdenotaalpie"/>
          <w:bCs/>
          <w:sz w:val="24"/>
          <w:szCs w:val="24"/>
        </w:rPr>
        <w:footnoteReference w:id="6"/>
      </w:r>
      <w:r w:rsidR="00682CDB">
        <w:rPr>
          <w:bCs/>
          <w:sz w:val="24"/>
          <w:szCs w:val="24"/>
        </w:rPr>
        <w:t xml:space="preserve"> en la etapa de la adolescencia. </w:t>
      </w:r>
    </w:p>
    <w:p w14:paraId="4BC77D92" w14:textId="0DF777AE" w:rsidR="00096FCA" w:rsidRPr="0051271A" w:rsidRDefault="00096FCA" w:rsidP="0051271A">
      <w:pPr>
        <w:pStyle w:val="Prrafodelista"/>
        <w:autoSpaceDE w:val="0"/>
        <w:autoSpaceDN w:val="0"/>
        <w:adjustRightInd w:val="0"/>
        <w:spacing w:line="240" w:lineRule="auto"/>
        <w:ind w:left="714"/>
        <w:jc w:val="both"/>
        <w:rPr>
          <w:sz w:val="20"/>
          <w:szCs w:val="20"/>
        </w:rPr>
      </w:pPr>
      <w:r w:rsidRPr="0051271A">
        <w:rPr>
          <w:sz w:val="20"/>
          <w:szCs w:val="20"/>
        </w:rPr>
        <w:t xml:space="preserve">Los derechos laborales sí. A ver sí he tenido instrucción cívica. En perito mercantil en bachillerato tuve instrucción cívica, si tuve, pero es como, por ahí a mí no me interesó el tema en ese momento porque vamos a ser sincero, mucho, instrucción cívica no me interesaba. </w:t>
      </w:r>
      <w:r w:rsidRPr="0051271A">
        <w:rPr>
          <w:rFonts w:eastAsia="Calibri"/>
          <w:sz w:val="20"/>
          <w:szCs w:val="20"/>
          <w:lang w:val="es-ES"/>
        </w:rPr>
        <w:t>(Comunicaci</w:t>
      </w:r>
      <w:r w:rsidR="005105E5" w:rsidRPr="0051271A">
        <w:rPr>
          <w:rFonts w:eastAsia="Calibri"/>
          <w:sz w:val="20"/>
          <w:szCs w:val="20"/>
          <w:lang w:val="es-ES"/>
        </w:rPr>
        <w:t>ón personal. Entrevistado</w:t>
      </w:r>
      <w:r w:rsidRPr="0051271A">
        <w:rPr>
          <w:rFonts w:eastAsia="Calibri"/>
          <w:sz w:val="20"/>
          <w:szCs w:val="20"/>
          <w:lang w:val="es-ES"/>
        </w:rPr>
        <w:t xml:space="preserve">: </w:t>
      </w:r>
      <w:proofErr w:type="spellStart"/>
      <w:r w:rsidRPr="0051271A">
        <w:rPr>
          <w:rFonts w:eastAsia="Calibri"/>
          <w:sz w:val="20"/>
          <w:szCs w:val="20"/>
          <w:lang w:val="es-ES"/>
        </w:rPr>
        <w:t>Catriel</w:t>
      </w:r>
      <w:proofErr w:type="spellEnd"/>
      <w:r w:rsidRPr="0051271A">
        <w:rPr>
          <w:rFonts w:eastAsia="Calibri"/>
          <w:sz w:val="20"/>
          <w:szCs w:val="20"/>
          <w:lang w:val="es-ES"/>
        </w:rPr>
        <w:t>, 17/02/2018)</w:t>
      </w:r>
    </w:p>
    <w:p w14:paraId="7E5C5754" w14:textId="77777777" w:rsidR="00096FCA" w:rsidRPr="00096FCA" w:rsidRDefault="00096FCA" w:rsidP="00096FCA">
      <w:pPr>
        <w:pStyle w:val="Prrafodelista"/>
        <w:autoSpaceDE w:val="0"/>
        <w:autoSpaceDN w:val="0"/>
        <w:adjustRightInd w:val="0"/>
        <w:spacing w:line="240" w:lineRule="auto"/>
        <w:ind w:left="0"/>
        <w:jc w:val="both"/>
        <w:rPr>
          <w:bCs/>
          <w:sz w:val="24"/>
          <w:szCs w:val="24"/>
        </w:rPr>
      </w:pPr>
    </w:p>
    <w:p w14:paraId="447FA583" w14:textId="77777777" w:rsidR="00D51669" w:rsidRDefault="00682CDB" w:rsidP="00E30612">
      <w:pPr>
        <w:pStyle w:val="Prrafodelista"/>
        <w:autoSpaceDE w:val="0"/>
        <w:autoSpaceDN w:val="0"/>
        <w:adjustRightInd w:val="0"/>
        <w:spacing w:line="360" w:lineRule="auto"/>
        <w:ind w:left="0"/>
        <w:jc w:val="both"/>
        <w:rPr>
          <w:bCs/>
          <w:sz w:val="24"/>
          <w:szCs w:val="24"/>
        </w:rPr>
      </w:pPr>
      <w:r>
        <w:rPr>
          <w:bCs/>
          <w:sz w:val="24"/>
          <w:szCs w:val="24"/>
        </w:rPr>
        <w:t>A su vez, algunos entrevistados que asistieron a escuelas de enseñanza técnica, identificaron a ese espacio institucional como el lugar donde aprendieron todo lo necesario para luego poder desempeñarse en el trabajo, aunque no cuestiones vinculadas a derechos laborales.</w:t>
      </w:r>
      <w:r w:rsidR="00B76390">
        <w:rPr>
          <w:bCs/>
          <w:sz w:val="24"/>
          <w:szCs w:val="24"/>
        </w:rPr>
        <w:t xml:space="preserve"> </w:t>
      </w:r>
    </w:p>
    <w:p w14:paraId="2C9D1071" w14:textId="5FA6BE07" w:rsidR="00F6021F" w:rsidRPr="0051271A" w:rsidRDefault="00D51669" w:rsidP="00BA100E">
      <w:pPr>
        <w:pStyle w:val="Prrafodelista"/>
        <w:autoSpaceDE w:val="0"/>
        <w:autoSpaceDN w:val="0"/>
        <w:adjustRightInd w:val="0"/>
        <w:spacing w:before="240" w:line="240" w:lineRule="auto"/>
        <w:ind w:left="714"/>
        <w:jc w:val="both"/>
        <w:rPr>
          <w:rFonts w:eastAsia="Calibri"/>
          <w:sz w:val="20"/>
          <w:szCs w:val="20"/>
          <w:lang w:val="es-ES"/>
        </w:rPr>
      </w:pPr>
      <w:r w:rsidRPr="0051271A">
        <w:rPr>
          <w:sz w:val="20"/>
          <w:szCs w:val="20"/>
        </w:rPr>
        <w:t>Si porque en el momento donde yo entré a trabajar, a estudiar perdón te enseñaban trabajo, cómo se trabajaba, cómo vas a trabajar vos, como te vas a empezar a desarrollar durante un problema y a su vez</w:t>
      </w:r>
      <w:r w:rsidR="00F6021F" w:rsidRPr="0051271A">
        <w:rPr>
          <w:sz w:val="20"/>
          <w:szCs w:val="20"/>
        </w:rPr>
        <w:t xml:space="preserve">. </w:t>
      </w:r>
      <w:r w:rsidR="00F6021F" w:rsidRPr="0051271A">
        <w:rPr>
          <w:rFonts w:eastAsia="Calibri"/>
          <w:sz w:val="20"/>
          <w:szCs w:val="20"/>
          <w:lang w:val="es-ES"/>
        </w:rPr>
        <w:t>(Comunicaci</w:t>
      </w:r>
      <w:r w:rsidR="005105E5" w:rsidRPr="0051271A">
        <w:rPr>
          <w:rFonts w:eastAsia="Calibri"/>
          <w:sz w:val="20"/>
          <w:szCs w:val="20"/>
          <w:lang w:val="es-ES"/>
        </w:rPr>
        <w:t>ón personal. Entrevistado</w:t>
      </w:r>
      <w:r w:rsidR="00F6021F" w:rsidRPr="0051271A">
        <w:rPr>
          <w:rFonts w:eastAsia="Calibri"/>
          <w:sz w:val="20"/>
          <w:szCs w:val="20"/>
          <w:lang w:val="es-ES"/>
        </w:rPr>
        <w:t>: Manuel, 17/02/2018)</w:t>
      </w:r>
    </w:p>
    <w:p w14:paraId="4061505B" w14:textId="77777777" w:rsidR="00BA100E" w:rsidRPr="00BA100E" w:rsidRDefault="00BA100E" w:rsidP="00BA100E">
      <w:pPr>
        <w:pStyle w:val="Prrafodelista"/>
        <w:autoSpaceDE w:val="0"/>
        <w:autoSpaceDN w:val="0"/>
        <w:adjustRightInd w:val="0"/>
        <w:spacing w:before="240" w:line="240" w:lineRule="auto"/>
        <w:ind w:left="714"/>
        <w:jc w:val="both"/>
        <w:rPr>
          <w:sz w:val="24"/>
          <w:szCs w:val="24"/>
        </w:rPr>
      </w:pPr>
    </w:p>
    <w:p w14:paraId="1F62A469" w14:textId="6FDC69E2" w:rsidR="007827A9" w:rsidRDefault="008B5403" w:rsidP="009E40B7">
      <w:pPr>
        <w:pStyle w:val="Prrafodelista"/>
        <w:autoSpaceDE w:val="0"/>
        <w:autoSpaceDN w:val="0"/>
        <w:adjustRightInd w:val="0"/>
        <w:spacing w:line="360" w:lineRule="auto"/>
        <w:ind w:left="0"/>
        <w:jc w:val="both"/>
        <w:rPr>
          <w:bCs/>
          <w:sz w:val="24"/>
          <w:szCs w:val="24"/>
        </w:rPr>
      </w:pPr>
      <w:r>
        <w:rPr>
          <w:bCs/>
          <w:sz w:val="24"/>
          <w:szCs w:val="24"/>
        </w:rPr>
        <w:t>A su vez, las-os entrevistadas-os que no habían terminado la escuela primaria, identificaban con más fuerza el espacio familiar y laboral, como lugares fundamentales de aprendizaje</w:t>
      </w:r>
      <w:r w:rsidR="007E4311">
        <w:rPr>
          <w:bCs/>
          <w:sz w:val="24"/>
          <w:szCs w:val="24"/>
        </w:rPr>
        <w:t xml:space="preserve">. </w:t>
      </w:r>
      <w:r w:rsidR="00B76390">
        <w:rPr>
          <w:bCs/>
          <w:sz w:val="24"/>
          <w:szCs w:val="24"/>
        </w:rPr>
        <w:t>Estos datos de campo, resultaron fundamentales al analizar e</w:t>
      </w:r>
      <w:r w:rsidR="007E4311">
        <w:rPr>
          <w:bCs/>
          <w:sz w:val="24"/>
          <w:szCs w:val="24"/>
        </w:rPr>
        <w:t>l comportamiento de</w:t>
      </w:r>
      <w:r w:rsidR="00B76390">
        <w:rPr>
          <w:bCs/>
          <w:sz w:val="24"/>
          <w:szCs w:val="24"/>
        </w:rPr>
        <w:t xml:space="preserve"> las-os trabajadoras-es a lo largo de varios años en los que la quita de salario se prolongó.</w:t>
      </w:r>
      <w:r>
        <w:rPr>
          <w:bCs/>
          <w:sz w:val="24"/>
          <w:szCs w:val="24"/>
        </w:rPr>
        <w:t xml:space="preserve"> Ya que, en muchos casos, se concebía al espacio de trabajo como un lugar de formación laboral y personal, con el cual se percibía la existencia de un vínculo que excedía lo económico-transaccional </w:t>
      </w:r>
      <w:r>
        <w:rPr>
          <w:bCs/>
          <w:sz w:val="24"/>
          <w:szCs w:val="24"/>
        </w:rPr>
        <w:lastRenderedPageBreak/>
        <w:t>e incluía otro tipo de lazos o vínculos de carácter afectivo que se imponían como límite a la confrontación con la patronal por el precio del salario. Y en todos los casos, implicaba desestimar la lógica de la movilización y paro como medidas aceptables de reclamo.</w:t>
      </w:r>
      <w:r w:rsidR="007E4311">
        <w:rPr>
          <w:bCs/>
          <w:sz w:val="24"/>
          <w:szCs w:val="24"/>
        </w:rPr>
        <w:t xml:space="preserve"> </w:t>
      </w:r>
      <w:r>
        <w:rPr>
          <w:bCs/>
          <w:sz w:val="24"/>
          <w:szCs w:val="24"/>
        </w:rPr>
        <w:t xml:space="preserve">Sin embargo, la situación del despido indebido, activo memorias de </w:t>
      </w:r>
      <w:proofErr w:type="spellStart"/>
      <w:r>
        <w:rPr>
          <w:bCs/>
          <w:sz w:val="24"/>
          <w:szCs w:val="24"/>
        </w:rPr>
        <w:t>asociativismo</w:t>
      </w:r>
      <w:proofErr w:type="spellEnd"/>
      <w:r>
        <w:rPr>
          <w:bCs/>
          <w:sz w:val="24"/>
          <w:szCs w:val="24"/>
        </w:rPr>
        <w:t xml:space="preserve"> que redundaron en la articulación en y para la lucha por la restitución de los puestos de trabajo. Una lucha que implicó, a su vez, un proceso de desgarramiento personal, ya que se debió cargar con el estigma de ser quienes pusieran en peligro la permanencia de la fábrica en el distrito (tal como lo concebían algunas-os pobladoras-es del lugar y otras-os trabajadoras-es que no habían sido despedidos de la fábrica). También se atravesaron procesos de toma de conciencia acerca de los aportes en conocimiento acumulado, que ellas-os como expertas-os en la elaboración de un queso con la peculiaridad y trayectoria del </w:t>
      </w:r>
      <w:proofErr w:type="spellStart"/>
      <w:r>
        <w:rPr>
          <w:bCs/>
          <w:sz w:val="24"/>
          <w:szCs w:val="24"/>
        </w:rPr>
        <w:t>Mendicrim</w:t>
      </w:r>
      <w:proofErr w:type="spellEnd"/>
      <w:r w:rsidR="005F6CE8">
        <w:rPr>
          <w:bCs/>
          <w:sz w:val="24"/>
          <w:szCs w:val="24"/>
        </w:rPr>
        <w:t>, habían aportado a las patronales a lo largo de los años.</w:t>
      </w:r>
      <w:r w:rsidR="007E4311">
        <w:rPr>
          <w:bCs/>
          <w:sz w:val="24"/>
          <w:szCs w:val="24"/>
        </w:rPr>
        <w:t xml:space="preserve"> </w:t>
      </w:r>
      <w:r w:rsidR="005F6CE8">
        <w:rPr>
          <w:bCs/>
          <w:sz w:val="24"/>
          <w:szCs w:val="24"/>
        </w:rPr>
        <w:t>A su vez, las sucesivas entrevistas con las-os empleadas-os de la</w:t>
      </w:r>
      <w:r w:rsidR="007E4311">
        <w:rPr>
          <w:bCs/>
          <w:sz w:val="24"/>
          <w:szCs w:val="24"/>
        </w:rPr>
        <w:t xml:space="preserve"> fábrica, nos permitieron registrar</w:t>
      </w:r>
      <w:r w:rsidR="005F6CE8">
        <w:rPr>
          <w:bCs/>
          <w:sz w:val="24"/>
          <w:szCs w:val="24"/>
        </w:rPr>
        <w:t xml:space="preserve"> un estado de temor generalizado y una serie de sospechas de parte de las-os trabajadoras-es, respecto a un posible proceso de vaciamiento intencionado de la fábrica en el proceso previo a su transferencia. Lo cual, nos permitió preguntarnos por las operatorias de capital, que Ignacio </w:t>
      </w:r>
      <w:proofErr w:type="spellStart"/>
      <w:r w:rsidR="005F6CE8">
        <w:rPr>
          <w:bCs/>
          <w:sz w:val="24"/>
          <w:szCs w:val="24"/>
        </w:rPr>
        <w:t>Iúdica</w:t>
      </w:r>
      <w:proofErr w:type="spellEnd"/>
      <w:r w:rsidR="005F6CE8">
        <w:rPr>
          <w:bCs/>
          <w:sz w:val="24"/>
          <w:szCs w:val="24"/>
        </w:rPr>
        <w:t xml:space="preserve"> exploró en AFIP. En este sentido, la experiencia etnográfica, permitió pensar una intervención profesional del abogado en función de búsquedas no habituales en el campo del derecho laboral. Y la articulación con los conocimientos jurídicos respecto a las condiciones de lesión de derechos que sufrían las-os operarias-os, permitió a la indagación antropológica, establecer una delimitación del problema y un recorte del referente empírico de estudio, más preciso al momento de seleccionar el caso a trabajar.</w:t>
      </w:r>
    </w:p>
    <w:p w14:paraId="0CA1B3F7" w14:textId="4032BF98" w:rsidR="005F6CE8" w:rsidRPr="00E30612" w:rsidRDefault="005F6CE8" w:rsidP="009E40B7">
      <w:pPr>
        <w:pStyle w:val="Prrafodelista"/>
        <w:autoSpaceDE w:val="0"/>
        <w:autoSpaceDN w:val="0"/>
        <w:adjustRightInd w:val="0"/>
        <w:spacing w:line="360" w:lineRule="auto"/>
        <w:ind w:left="0"/>
        <w:jc w:val="both"/>
        <w:rPr>
          <w:b/>
          <w:bCs/>
          <w:sz w:val="24"/>
          <w:szCs w:val="24"/>
        </w:rPr>
      </w:pPr>
      <w:r w:rsidRPr="00E30612">
        <w:rPr>
          <w:b/>
          <w:bCs/>
          <w:sz w:val="24"/>
          <w:szCs w:val="24"/>
        </w:rPr>
        <w:t>Reflexiones finales</w:t>
      </w:r>
    </w:p>
    <w:p w14:paraId="09D76601" w14:textId="4558EB2F" w:rsidR="005F6CE8" w:rsidRDefault="0063521C" w:rsidP="009E40B7">
      <w:pPr>
        <w:pStyle w:val="Prrafodelista"/>
        <w:autoSpaceDE w:val="0"/>
        <w:autoSpaceDN w:val="0"/>
        <w:adjustRightInd w:val="0"/>
        <w:spacing w:line="360" w:lineRule="auto"/>
        <w:ind w:left="0"/>
        <w:jc w:val="both"/>
        <w:rPr>
          <w:bCs/>
          <w:sz w:val="24"/>
          <w:szCs w:val="24"/>
        </w:rPr>
      </w:pPr>
      <w:r>
        <w:rPr>
          <w:bCs/>
          <w:sz w:val="24"/>
          <w:szCs w:val="24"/>
        </w:rPr>
        <w:t>Así, l</w:t>
      </w:r>
      <w:r w:rsidR="005F6CE8">
        <w:rPr>
          <w:bCs/>
          <w:sz w:val="24"/>
          <w:szCs w:val="24"/>
        </w:rPr>
        <w:t xml:space="preserve">o que comenzó siendo un trabajo de carácter meramente descriptivo, se convirtió en una intervención profesional interdisciplinaria en la coyuntura de un despido indebido, que logró potenciar la lucha de las-os trabajadoras-es. A su vez, esta experiencia de investigación e intervención, permitió revisar los métodos de análisis habituales de los campos de conocimiento desde los cuales provenimos los integrantes del proyecto de investigación (Abogacía y </w:t>
      </w:r>
      <w:r w:rsidR="005F6CE8">
        <w:rPr>
          <w:bCs/>
          <w:sz w:val="24"/>
          <w:szCs w:val="24"/>
        </w:rPr>
        <w:lastRenderedPageBreak/>
        <w:t>Antropología). Y en este contexto de revisión crítica de método</w:t>
      </w:r>
      <w:r w:rsidR="00BD6821">
        <w:rPr>
          <w:bCs/>
          <w:sz w:val="24"/>
          <w:szCs w:val="24"/>
        </w:rPr>
        <w:t>s y categorías interpretativas, las-os profesionales de cada campo, pudimos establecer una reformulación de los problemas de estudio y de sus abordajes, dónde la reciprocidad constituyó un elemento fundamental del proceso de conocimiento.</w:t>
      </w:r>
    </w:p>
    <w:p w14:paraId="65A8A74E" w14:textId="245F05B5" w:rsidR="00BD6821" w:rsidRDefault="00BD6821" w:rsidP="009E40B7">
      <w:pPr>
        <w:pStyle w:val="Prrafodelista"/>
        <w:autoSpaceDE w:val="0"/>
        <w:autoSpaceDN w:val="0"/>
        <w:adjustRightInd w:val="0"/>
        <w:spacing w:line="360" w:lineRule="auto"/>
        <w:ind w:left="0"/>
        <w:jc w:val="both"/>
        <w:rPr>
          <w:bCs/>
          <w:sz w:val="24"/>
          <w:szCs w:val="24"/>
        </w:rPr>
      </w:pPr>
      <w:r>
        <w:rPr>
          <w:bCs/>
          <w:sz w:val="24"/>
          <w:szCs w:val="24"/>
        </w:rPr>
        <w:t>Finalmente, esta experiencia, se volcó en las cátedras de la carrera de Abogacía de la UNNOBA en que trabajamos como docentes, mediante la estrategia didáctica del estudio de caso</w:t>
      </w:r>
      <w:r w:rsidR="007974CD">
        <w:rPr>
          <w:rStyle w:val="Refdenotaalpie"/>
          <w:bCs/>
          <w:sz w:val="24"/>
          <w:szCs w:val="24"/>
        </w:rPr>
        <w:footnoteReference w:id="7"/>
      </w:r>
      <w:r>
        <w:rPr>
          <w:bCs/>
          <w:sz w:val="24"/>
          <w:szCs w:val="24"/>
        </w:rPr>
        <w:t>.</w:t>
      </w:r>
    </w:p>
    <w:p w14:paraId="29B4F36F" w14:textId="551993E9" w:rsidR="006A0FBF" w:rsidRDefault="006C491F" w:rsidP="00E30612">
      <w:pPr>
        <w:spacing w:line="240" w:lineRule="auto"/>
        <w:ind w:left="714"/>
        <w:jc w:val="both"/>
        <w:rPr>
          <w:sz w:val="20"/>
          <w:szCs w:val="20"/>
        </w:rPr>
      </w:pPr>
      <w:r w:rsidRPr="00E30612">
        <w:rPr>
          <w:sz w:val="20"/>
          <w:szCs w:val="20"/>
        </w:rPr>
        <w:t xml:space="preserve">Las preguntas metodológicas convencionales de las ciencias sociales del “cómo hacer para” parecen estar totalmente insertas y reunidas en el discurso político-ético [del] etnógrafo en la investigación </w:t>
      </w:r>
      <w:proofErr w:type="spellStart"/>
      <w:r w:rsidRPr="00E30612">
        <w:rPr>
          <w:sz w:val="20"/>
          <w:szCs w:val="20"/>
        </w:rPr>
        <w:t>multilocal</w:t>
      </w:r>
      <w:proofErr w:type="spellEnd"/>
      <w:r w:rsidRPr="00E30612">
        <w:rPr>
          <w:sz w:val="20"/>
          <w:szCs w:val="20"/>
        </w:rPr>
        <w:t>. El movimiento entre lugares (y niveles de sociedad) da un carácter de activismo a tal investigación […</w:t>
      </w:r>
      <w:proofErr w:type="gramStart"/>
      <w:r w:rsidRPr="00E30612">
        <w:rPr>
          <w:sz w:val="20"/>
          <w:szCs w:val="20"/>
        </w:rPr>
        <w:t>]un</w:t>
      </w:r>
      <w:proofErr w:type="gramEnd"/>
      <w:r w:rsidRPr="00E30612">
        <w:rPr>
          <w:sz w:val="20"/>
          <w:szCs w:val="20"/>
        </w:rPr>
        <w:t xml:space="preserve"> activismo muy específico y circunstancial a las condiciones de hacer investigación </w:t>
      </w:r>
      <w:proofErr w:type="spellStart"/>
      <w:r w:rsidRPr="00E30612">
        <w:rPr>
          <w:sz w:val="20"/>
          <w:szCs w:val="20"/>
        </w:rPr>
        <w:t>multilocal</w:t>
      </w:r>
      <w:proofErr w:type="spellEnd"/>
      <w:r w:rsidRPr="00E30612">
        <w:rPr>
          <w:sz w:val="20"/>
          <w:szCs w:val="20"/>
        </w:rPr>
        <w:t>. [Es] lo político como sinónimo del individuo profesional […] (Marcus, 2001: 123)</w:t>
      </w:r>
    </w:p>
    <w:p w14:paraId="39675EB5" w14:textId="77777777" w:rsidR="00E30612" w:rsidRPr="00E30612" w:rsidRDefault="00E30612" w:rsidP="007974CD">
      <w:pPr>
        <w:spacing w:before="240" w:line="240" w:lineRule="auto"/>
        <w:ind w:left="714"/>
        <w:jc w:val="both"/>
        <w:rPr>
          <w:sz w:val="20"/>
          <w:szCs w:val="20"/>
        </w:rPr>
      </w:pPr>
    </w:p>
    <w:p w14:paraId="6416C857" w14:textId="3653035E" w:rsidR="00BD6821" w:rsidRPr="00E30612" w:rsidRDefault="00BD6821" w:rsidP="00BD6821">
      <w:pPr>
        <w:spacing w:line="360" w:lineRule="auto"/>
        <w:contextualSpacing/>
        <w:jc w:val="both"/>
        <w:rPr>
          <w:rFonts w:eastAsia="Calibri"/>
          <w:b/>
          <w:bCs/>
          <w:sz w:val="24"/>
          <w:szCs w:val="24"/>
          <w:lang w:val="es-AR"/>
        </w:rPr>
      </w:pPr>
      <w:r w:rsidRPr="00E30612">
        <w:rPr>
          <w:rFonts w:eastAsia="Calibri"/>
          <w:b/>
          <w:bCs/>
          <w:sz w:val="24"/>
          <w:szCs w:val="24"/>
          <w:lang w:val="es-AR"/>
        </w:rPr>
        <w:t>Bibliografía</w:t>
      </w:r>
    </w:p>
    <w:p w14:paraId="07FD9392" w14:textId="13D959E3" w:rsidR="00570DCB" w:rsidRPr="00570DCB" w:rsidRDefault="00570DCB" w:rsidP="00E30612">
      <w:pPr>
        <w:spacing w:line="240" w:lineRule="auto"/>
        <w:ind w:left="567" w:hanging="567"/>
        <w:contextualSpacing/>
        <w:jc w:val="both"/>
        <w:rPr>
          <w:rFonts w:eastAsia="Calibri"/>
          <w:bCs/>
          <w:sz w:val="24"/>
          <w:szCs w:val="24"/>
          <w:lang w:val="es-AR"/>
        </w:rPr>
      </w:pPr>
      <w:r w:rsidRPr="00570DCB">
        <w:rPr>
          <w:rFonts w:eastAsia="Calibri"/>
          <w:bCs/>
          <w:sz w:val="24"/>
          <w:szCs w:val="24"/>
          <w:lang w:val="es-AR"/>
        </w:rPr>
        <w:t xml:space="preserve">Ausubel, </w:t>
      </w:r>
      <w:r>
        <w:rPr>
          <w:rFonts w:eastAsia="Calibri"/>
          <w:bCs/>
          <w:sz w:val="24"/>
          <w:szCs w:val="24"/>
          <w:lang w:val="es-AR"/>
        </w:rPr>
        <w:t>D</w:t>
      </w:r>
      <w:r w:rsidRPr="00570DCB">
        <w:rPr>
          <w:rFonts w:eastAsia="Calibri"/>
          <w:bCs/>
          <w:sz w:val="24"/>
          <w:szCs w:val="24"/>
          <w:lang w:val="es-AR"/>
        </w:rPr>
        <w:t xml:space="preserve">. 1980. </w:t>
      </w:r>
      <w:r w:rsidRPr="006B5524">
        <w:rPr>
          <w:rFonts w:eastAsia="Calibri"/>
          <w:bCs/>
          <w:i/>
          <w:sz w:val="24"/>
          <w:szCs w:val="24"/>
          <w:lang w:val="es-AR"/>
        </w:rPr>
        <w:t>Psicología educativa. Un punto de vista cognoscitivo</w:t>
      </w:r>
      <w:r w:rsidRPr="00570DCB">
        <w:rPr>
          <w:rFonts w:eastAsia="Calibri"/>
          <w:bCs/>
          <w:sz w:val="24"/>
          <w:szCs w:val="24"/>
          <w:lang w:val="es-AR"/>
        </w:rPr>
        <w:t>.</w:t>
      </w:r>
      <w:r>
        <w:rPr>
          <w:rFonts w:eastAsia="Calibri"/>
          <w:bCs/>
          <w:sz w:val="24"/>
          <w:szCs w:val="24"/>
          <w:lang w:val="es-AR"/>
        </w:rPr>
        <w:t xml:space="preserve"> México: Trillas.</w:t>
      </w:r>
    </w:p>
    <w:p w14:paraId="4BC88C55" w14:textId="13255689" w:rsidR="00BD6821" w:rsidRDefault="00BD6821" w:rsidP="00E30612">
      <w:pPr>
        <w:autoSpaceDE w:val="0"/>
        <w:autoSpaceDN w:val="0"/>
        <w:adjustRightInd w:val="0"/>
        <w:spacing w:line="240" w:lineRule="auto"/>
        <w:ind w:left="567" w:hanging="567"/>
        <w:jc w:val="both"/>
        <w:rPr>
          <w:rFonts w:eastAsia="Calibri"/>
          <w:sz w:val="24"/>
          <w:szCs w:val="24"/>
          <w:lang w:val="es-AR"/>
        </w:rPr>
      </w:pPr>
      <w:proofErr w:type="spellStart"/>
      <w:r w:rsidRPr="00570DCB">
        <w:rPr>
          <w:rFonts w:eastAsia="Calibri"/>
          <w:sz w:val="24"/>
          <w:szCs w:val="24"/>
          <w:lang w:val="es-AR"/>
        </w:rPr>
        <w:t>Halbwachs</w:t>
      </w:r>
      <w:proofErr w:type="spellEnd"/>
      <w:r w:rsidRPr="00570DCB">
        <w:rPr>
          <w:rFonts w:eastAsia="Calibri"/>
          <w:sz w:val="24"/>
          <w:szCs w:val="24"/>
          <w:lang w:val="es-AR"/>
        </w:rPr>
        <w:t xml:space="preserve">, M. 2004. </w:t>
      </w:r>
      <w:r w:rsidRPr="00570DCB">
        <w:rPr>
          <w:rFonts w:eastAsia="Calibri"/>
          <w:i/>
          <w:sz w:val="24"/>
          <w:szCs w:val="24"/>
          <w:lang w:val="es-AR"/>
        </w:rPr>
        <w:t>Los cuadros sociales de la memoria</w:t>
      </w:r>
      <w:r w:rsidRPr="00570DCB">
        <w:rPr>
          <w:rFonts w:eastAsia="Calibri"/>
          <w:sz w:val="24"/>
          <w:szCs w:val="24"/>
          <w:lang w:val="es-AR"/>
        </w:rPr>
        <w:t xml:space="preserve">. Barcelona: </w:t>
      </w:r>
      <w:proofErr w:type="spellStart"/>
      <w:r w:rsidRPr="00570DCB">
        <w:rPr>
          <w:rFonts w:eastAsia="Calibri"/>
          <w:sz w:val="24"/>
          <w:szCs w:val="24"/>
          <w:lang w:val="es-AR"/>
        </w:rPr>
        <w:t>Anthropos</w:t>
      </w:r>
      <w:proofErr w:type="spellEnd"/>
      <w:r w:rsidRPr="00570DCB">
        <w:rPr>
          <w:rFonts w:eastAsia="Calibri"/>
          <w:sz w:val="24"/>
          <w:szCs w:val="24"/>
          <w:lang w:val="es-AR"/>
        </w:rPr>
        <w:t>.</w:t>
      </w:r>
    </w:p>
    <w:p w14:paraId="1A7582B0" w14:textId="023E0224" w:rsidR="006B5524" w:rsidRPr="00E91099" w:rsidRDefault="006B5524" w:rsidP="00E30612">
      <w:pPr>
        <w:autoSpaceDE w:val="0"/>
        <w:autoSpaceDN w:val="0"/>
        <w:adjustRightInd w:val="0"/>
        <w:spacing w:line="240" w:lineRule="auto"/>
        <w:ind w:left="567" w:hanging="567"/>
        <w:jc w:val="both"/>
        <w:rPr>
          <w:rFonts w:eastAsia="Calibri"/>
          <w:color w:val="000000"/>
          <w:sz w:val="24"/>
          <w:szCs w:val="24"/>
          <w:lang w:val="es-ES"/>
        </w:rPr>
      </w:pPr>
      <w:r w:rsidRPr="00E91099">
        <w:rPr>
          <w:rFonts w:eastAsia="Calibri"/>
          <w:sz w:val="24"/>
          <w:szCs w:val="24"/>
          <w:lang w:val="es-AR"/>
        </w:rPr>
        <w:t xml:space="preserve">Marcus, </w:t>
      </w:r>
      <w:r w:rsidR="009E5617" w:rsidRPr="00E91099">
        <w:rPr>
          <w:rFonts w:eastAsia="Calibri"/>
          <w:sz w:val="24"/>
          <w:szCs w:val="24"/>
          <w:lang w:val="es-AR"/>
        </w:rPr>
        <w:t xml:space="preserve">G. 2001. </w:t>
      </w:r>
      <w:r w:rsidR="009E5617" w:rsidRPr="00E91099">
        <w:rPr>
          <w:sz w:val="24"/>
          <w:szCs w:val="24"/>
        </w:rPr>
        <w:t xml:space="preserve">Etnografía en/del sistema mundo. El surgimiento de la etnografía </w:t>
      </w:r>
      <w:proofErr w:type="spellStart"/>
      <w:r w:rsidR="009E5617" w:rsidRPr="00E91099">
        <w:rPr>
          <w:sz w:val="24"/>
          <w:szCs w:val="24"/>
        </w:rPr>
        <w:t>multilocal</w:t>
      </w:r>
      <w:proofErr w:type="spellEnd"/>
      <w:r w:rsidR="009E5617" w:rsidRPr="00E91099">
        <w:rPr>
          <w:sz w:val="24"/>
          <w:szCs w:val="24"/>
        </w:rPr>
        <w:t xml:space="preserve">. </w:t>
      </w:r>
      <w:r w:rsidR="00E16F4B">
        <w:rPr>
          <w:i/>
          <w:sz w:val="24"/>
          <w:szCs w:val="24"/>
        </w:rPr>
        <w:t>Alteridades</w:t>
      </w:r>
      <w:r w:rsidR="009E5617" w:rsidRPr="00E91099">
        <w:rPr>
          <w:sz w:val="24"/>
          <w:szCs w:val="24"/>
        </w:rPr>
        <w:t>, 11 (22): Págs. 111-127.</w:t>
      </w:r>
    </w:p>
    <w:p w14:paraId="16C25141" w14:textId="514C26B0" w:rsidR="0014118C" w:rsidRDefault="00BD6821" w:rsidP="00E30612">
      <w:pPr>
        <w:autoSpaceDE w:val="0"/>
        <w:autoSpaceDN w:val="0"/>
        <w:adjustRightInd w:val="0"/>
        <w:spacing w:line="240" w:lineRule="auto"/>
        <w:ind w:left="567" w:hanging="567"/>
        <w:jc w:val="both"/>
        <w:rPr>
          <w:rFonts w:eastAsia="Calibri"/>
          <w:color w:val="000000"/>
          <w:sz w:val="24"/>
          <w:szCs w:val="24"/>
          <w:lang w:val="es-ES"/>
        </w:rPr>
      </w:pPr>
      <w:proofErr w:type="spellStart"/>
      <w:r w:rsidRPr="00570DCB">
        <w:rPr>
          <w:rFonts w:eastAsia="Calibri"/>
          <w:color w:val="000000"/>
          <w:sz w:val="24"/>
          <w:szCs w:val="24"/>
          <w:lang w:val="es-ES"/>
        </w:rPr>
        <w:t>Pollak</w:t>
      </w:r>
      <w:proofErr w:type="spellEnd"/>
      <w:r w:rsidRPr="00570DCB">
        <w:rPr>
          <w:rFonts w:eastAsia="Calibri"/>
          <w:color w:val="000000"/>
          <w:sz w:val="24"/>
          <w:szCs w:val="24"/>
          <w:lang w:val="es-ES"/>
        </w:rPr>
        <w:t xml:space="preserve">, M. 2006. </w:t>
      </w:r>
      <w:r w:rsidRPr="00570DCB">
        <w:rPr>
          <w:rFonts w:eastAsia="Calibri"/>
          <w:i/>
          <w:color w:val="000000"/>
          <w:sz w:val="24"/>
          <w:szCs w:val="24"/>
          <w:lang w:val="es-ES"/>
        </w:rPr>
        <w:t>Memoria, olvido, silencio. La producción social de identidades frente a situaciones límite.</w:t>
      </w:r>
      <w:r w:rsidRPr="00570DCB">
        <w:rPr>
          <w:rFonts w:eastAsia="Calibri"/>
          <w:color w:val="000000"/>
          <w:sz w:val="24"/>
          <w:szCs w:val="24"/>
          <w:lang w:val="es-ES"/>
        </w:rPr>
        <w:t xml:space="preserve"> La plata: Al Margen.</w:t>
      </w:r>
    </w:p>
    <w:p w14:paraId="71750DFE" w14:textId="7E233A40" w:rsidR="007974CD" w:rsidRPr="006C491F" w:rsidRDefault="007974CD" w:rsidP="00E30612">
      <w:pPr>
        <w:autoSpaceDE w:val="0"/>
        <w:autoSpaceDN w:val="0"/>
        <w:adjustRightInd w:val="0"/>
        <w:spacing w:line="240" w:lineRule="auto"/>
        <w:ind w:left="567" w:hanging="567"/>
        <w:jc w:val="both"/>
        <w:rPr>
          <w:rFonts w:eastAsia="Calibri"/>
          <w:color w:val="000000"/>
          <w:sz w:val="24"/>
          <w:szCs w:val="24"/>
          <w:lang w:val="es-ES"/>
        </w:rPr>
      </w:pPr>
      <w:r>
        <w:rPr>
          <w:rFonts w:eastAsia="Calibri"/>
          <w:color w:val="000000"/>
          <w:sz w:val="24"/>
          <w:szCs w:val="24"/>
          <w:lang w:val="es-ES"/>
        </w:rPr>
        <w:t xml:space="preserve">Wasserman, S. 1994. El estudio de casos como método de enseñanza. Bs. As.: </w:t>
      </w:r>
      <w:proofErr w:type="spellStart"/>
      <w:r>
        <w:rPr>
          <w:rFonts w:eastAsia="Calibri"/>
          <w:color w:val="000000"/>
          <w:sz w:val="24"/>
          <w:szCs w:val="24"/>
          <w:lang w:val="es-ES"/>
        </w:rPr>
        <w:t>Amorrortu</w:t>
      </w:r>
      <w:proofErr w:type="spellEnd"/>
      <w:r>
        <w:rPr>
          <w:rFonts w:eastAsia="Calibri"/>
          <w:color w:val="000000"/>
          <w:sz w:val="24"/>
          <w:szCs w:val="24"/>
          <w:lang w:val="es-ES"/>
        </w:rPr>
        <w:t>.</w:t>
      </w:r>
    </w:p>
    <w:sectPr w:rsidR="007974CD" w:rsidRPr="006C491F" w:rsidSect="00E30612">
      <w:pgSz w:w="11909" w:h="16834" w:code="9"/>
      <w:pgMar w:top="1701" w:right="1701" w:bottom="1701" w:left="1701" w:header="720" w:footer="72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D1BD9" w16cex:dateUtc="2021-05-17T19:44:00Z"/>
  <w16cex:commentExtensible w16cex:durableId="244D1C1C" w16cex:dateUtc="2021-05-17T19:45:00Z"/>
  <w16cex:commentExtensible w16cex:durableId="244D1C8B" w16cex:dateUtc="2021-05-17T19:47:00Z"/>
  <w16cex:commentExtensible w16cex:durableId="244D1D4D" w16cex:dateUtc="2021-05-17T19:50:00Z"/>
  <w16cex:commentExtensible w16cex:durableId="244D1E16" w16cex:dateUtc="2021-05-17T19:53:00Z"/>
  <w16cex:commentExtensible w16cex:durableId="244D1F7F" w16cex:dateUtc="2021-05-17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F89131" w16cid:durableId="244D1BD9"/>
  <w16cid:commentId w16cid:paraId="43AE0CE2" w16cid:durableId="244D1C1C"/>
  <w16cid:commentId w16cid:paraId="0B853D97" w16cid:durableId="244D1C8B"/>
  <w16cid:commentId w16cid:paraId="557EB407" w16cid:durableId="244D1D4D"/>
  <w16cid:commentId w16cid:paraId="41A2489F" w16cid:durableId="244D1E16"/>
  <w16cid:commentId w16cid:paraId="627DBA20" w16cid:durableId="244D1F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2F21C" w14:textId="77777777" w:rsidR="00BD3D08" w:rsidRDefault="00BD3D08" w:rsidP="0014118C">
      <w:pPr>
        <w:spacing w:line="240" w:lineRule="auto"/>
      </w:pPr>
      <w:r>
        <w:separator/>
      </w:r>
    </w:p>
  </w:endnote>
  <w:endnote w:type="continuationSeparator" w:id="0">
    <w:p w14:paraId="5BBDCD5E" w14:textId="77777777" w:rsidR="00BD3D08" w:rsidRDefault="00BD3D08" w:rsidP="00141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DC49A" w14:textId="77777777" w:rsidR="00BD3D08" w:rsidRDefault="00BD3D08" w:rsidP="0014118C">
      <w:pPr>
        <w:spacing w:line="240" w:lineRule="auto"/>
      </w:pPr>
      <w:r>
        <w:separator/>
      </w:r>
    </w:p>
  </w:footnote>
  <w:footnote w:type="continuationSeparator" w:id="0">
    <w:p w14:paraId="0CA9FD28" w14:textId="77777777" w:rsidR="00BD3D08" w:rsidRDefault="00BD3D08" w:rsidP="0014118C">
      <w:pPr>
        <w:spacing w:line="240" w:lineRule="auto"/>
      </w:pPr>
      <w:r>
        <w:continuationSeparator/>
      </w:r>
    </w:p>
  </w:footnote>
  <w:footnote w:id="1">
    <w:p w14:paraId="2F24040F" w14:textId="0070FAD0" w:rsidR="0014118C" w:rsidRPr="00E30612" w:rsidRDefault="0014118C" w:rsidP="00E30612">
      <w:pPr>
        <w:pStyle w:val="Textonotapie"/>
        <w:jc w:val="both"/>
        <w:rPr>
          <w:lang w:val="es-MX"/>
        </w:rPr>
      </w:pPr>
      <w:r>
        <w:rPr>
          <w:rStyle w:val="Refdenotaalpie"/>
        </w:rPr>
        <w:footnoteRef/>
      </w:r>
      <w:r>
        <w:t xml:space="preserve"> </w:t>
      </w:r>
      <w:r w:rsidR="00D977B1" w:rsidRPr="00E30612">
        <w:t xml:space="preserve">JTP Ordinario. Obligaciones y Responsabilidad Civil. Carrera de Abogacía. Docente Adjunto Interino. Derecho Privado. Carrera de Contador Público Nacional y Administrador de Empresas. </w:t>
      </w:r>
      <w:r w:rsidR="00EF7B4A" w:rsidRPr="00E30612">
        <w:t xml:space="preserve">Universidad Nacional del Noroeste de la Provincia de Buenos Aires. </w:t>
      </w:r>
      <w:r w:rsidR="00D977B1" w:rsidRPr="00E30612">
        <w:t>ignacioiudica@gmail.com</w:t>
      </w:r>
    </w:p>
  </w:footnote>
  <w:footnote w:id="2">
    <w:p w14:paraId="7A33BAF9" w14:textId="3B4C88D2" w:rsidR="00EF7B4A" w:rsidRPr="00E30612" w:rsidRDefault="00EF7B4A" w:rsidP="00E30612">
      <w:pPr>
        <w:pStyle w:val="Textonotapie"/>
        <w:jc w:val="both"/>
        <w:rPr>
          <w:lang w:val="es-MX"/>
        </w:rPr>
      </w:pPr>
      <w:r w:rsidRPr="00E30612">
        <w:rPr>
          <w:rStyle w:val="Refdenotaalpie"/>
        </w:rPr>
        <w:footnoteRef/>
      </w:r>
      <w:r w:rsidRPr="00E30612">
        <w:t xml:space="preserve"> </w:t>
      </w:r>
      <w:r w:rsidRPr="00E30612">
        <w:rPr>
          <w:lang w:val="es-MX"/>
        </w:rPr>
        <w:t xml:space="preserve">Titular interina. Perspectivas socioculturales sobre ciudadanía. Antropología jurídica y política. Carrera de Abogacía. </w:t>
      </w:r>
      <w:r w:rsidRPr="00E30612">
        <w:t>Universidad Nacional del Noroeste de la Provincia de Buenos Aires. mvsabao@gmail.com</w:t>
      </w:r>
    </w:p>
  </w:footnote>
  <w:footnote w:id="3">
    <w:p w14:paraId="1A2DBA6C" w14:textId="77777777" w:rsidR="00570DCB" w:rsidRPr="00E30612" w:rsidRDefault="00570DCB" w:rsidP="00E30612">
      <w:pPr>
        <w:spacing w:line="240" w:lineRule="auto"/>
        <w:jc w:val="both"/>
        <w:rPr>
          <w:rFonts w:eastAsiaTheme="minorHAnsi"/>
          <w:bCs/>
          <w:sz w:val="20"/>
          <w:szCs w:val="20"/>
        </w:rPr>
      </w:pPr>
      <w:r w:rsidRPr="00E30612">
        <w:rPr>
          <w:rStyle w:val="Refdenotaalpie"/>
          <w:sz w:val="20"/>
          <w:szCs w:val="20"/>
        </w:rPr>
        <w:footnoteRef/>
      </w:r>
      <w:r w:rsidRPr="00E30612">
        <w:rPr>
          <w:sz w:val="20"/>
          <w:szCs w:val="20"/>
        </w:rPr>
        <w:t xml:space="preserve"> </w:t>
      </w:r>
      <w:r w:rsidRPr="00E30612">
        <w:rPr>
          <w:rFonts w:eastAsiaTheme="minorHAnsi"/>
          <w:bCs/>
          <w:sz w:val="20"/>
          <w:szCs w:val="20"/>
          <w:lang w:val="es-MX"/>
        </w:rPr>
        <w:t>“</w:t>
      </w:r>
      <w:r w:rsidRPr="00E30612">
        <w:rPr>
          <w:rFonts w:eastAsiaTheme="minorHAnsi"/>
          <w:bCs/>
          <w:sz w:val="20"/>
          <w:szCs w:val="20"/>
        </w:rPr>
        <w:t xml:space="preserve">La noción de Trabajo y Derechos Humanos en la </w:t>
      </w:r>
      <w:proofErr w:type="spellStart"/>
      <w:r w:rsidRPr="00E30612">
        <w:rPr>
          <w:rFonts w:eastAsiaTheme="minorHAnsi"/>
          <w:bCs/>
          <w:sz w:val="20"/>
          <w:szCs w:val="20"/>
        </w:rPr>
        <w:t>currícula</w:t>
      </w:r>
      <w:proofErr w:type="spellEnd"/>
      <w:r w:rsidRPr="00E30612">
        <w:rPr>
          <w:rFonts w:eastAsiaTheme="minorHAnsi"/>
          <w:bCs/>
          <w:sz w:val="20"/>
          <w:szCs w:val="20"/>
        </w:rPr>
        <w:t xml:space="preserve"> de nivel secundario y/o polimodal. Un análisis comparativo de los diseños curriculares de Formación Ética y Ciudadana (del Consejo Federal de Educación, </w:t>
      </w:r>
      <w:proofErr w:type="spellStart"/>
      <w:r w:rsidRPr="00E30612">
        <w:rPr>
          <w:rFonts w:eastAsiaTheme="minorHAnsi"/>
          <w:bCs/>
          <w:sz w:val="20"/>
          <w:szCs w:val="20"/>
        </w:rPr>
        <w:t>pcias</w:t>
      </w:r>
      <w:proofErr w:type="spellEnd"/>
      <w:r w:rsidRPr="00E30612">
        <w:rPr>
          <w:rFonts w:eastAsiaTheme="minorHAnsi"/>
          <w:bCs/>
          <w:sz w:val="20"/>
          <w:szCs w:val="20"/>
        </w:rPr>
        <w:t>. Bs As, Santa Fe y Entre Ríos)”. 2013-2017. UNNOBA.</w:t>
      </w:r>
    </w:p>
    <w:p w14:paraId="4A614CB6" w14:textId="5D32D3ED" w:rsidR="00570DCB" w:rsidRPr="00570DCB" w:rsidRDefault="00570DCB">
      <w:pPr>
        <w:pStyle w:val="Textonotapie"/>
      </w:pPr>
    </w:p>
  </w:footnote>
  <w:footnote w:id="4">
    <w:p w14:paraId="7825E6E9" w14:textId="70590975" w:rsidR="00570DCB" w:rsidRPr="00570DCB" w:rsidRDefault="00570DCB" w:rsidP="00570DCB">
      <w:pPr>
        <w:autoSpaceDE w:val="0"/>
        <w:autoSpaceDN w:val="0"/>
        <w:adjustRightInd w:val="0"/>
        <w:spacing w:line="240" w:lineRule="auto"/>
        <w:jc w:val="both"/>
        <w:rPr>
          <w:bCs/>
          <w:sz w:val="20"/>
          <w:szCs w:val="20"/>
        </w:rPr>
      </w:pPr>
      <w:r w:rsidRPr="00570DCB">
        <w:rPr>
          <w:rStyle w:val="Refdenotaalpie"/>
          <w:sz w:val="20"/>
          <w:szCs w:val="20"/>
        </w:rPr>
        <w:footnoteRef/>
      </w:r>
      <w:r w:rsidRPr="00570DCB">
        <w:rPr>
          <w:sz w:val="20"/>
          <w:szCs w:val="20"/>
        </w:rPr>
        <w:t xml:space="preserve"> </w:t>
      </w:r>
      <w:r w:rsidRPr="00570DCB">
        <w:rPr>
          <w:bCs/>
          <w:sz w:val="20"/>
          <w:szCs w:val="20"/>
        </w:rPr>
        <w:t>“Trayectorias laborales en trabajadores-as y delegados-as de la industria láctea (ATILRA). Una articulación institucional desde el recupero de experiencias y concepciones/memorias sobre el trabajo”. 2018 y continúa. UNNOBA.</w:t>
      </w:r>
    </w:p>
    <w:p w14:paraId="16196320" w14:textId="00A739F7" w:rsidR="00570DCB" w:rsidRPr="00570DCB" w:rsidRDefault="00570DCB">
      <w:pPr>
        <w:pStyle w:val="Textonotapie"/>
      </w:pPr>
    </w:p>
  </w:footnote>
  <w:footnote w:id="5">
    <w:p w14:paraId="2DF345D9" w14:textId="77777777" w:rsidR="0063521C" w:rsidRDefault="0063521C" w:rsidP="0063521C">
      <w:pPr>
        <w:pStyle w:val="Textonotapie"/>
        <w:jc w:val="both"/>
        <w:rPr>
          <w:lang w:val="es-MX"/>
        </w:rPr>
      </w:pPr>
      <w:r>
        <w:rPr>
          <w:rStyle w:val="Refdenotaalpie"/>
        </w:rPr>
        <w:footnoteRef/>
      </w:r>
      <w:r>
        <w:t xml:space="preserve"> </w:t>
      </w:r>
      <w:r>
        <w:rPr>
          <w:lang w:val="es-MX"/>
        </w:rPr>
        <w:t xml:space="preserve">A pesar del carácter localizado del relevamiento etnográfico emprendido en este trabajo que se ha desarrollado en el Distrito de Lincoln y en el pueblo de Arenaza en forma intensiva, consideramos el enfoque de esta investigación en tanto etnografía </w:t>
      </w:r>
      <w:proofErr w:type="spellStart"/>
      <w:r>
        <w:rPr>
          <w:lang w:val="es-MX"/>
        </w:rPr>
        <w:t>multilocal</w:t>
      </w:r>
      <w:proofErr w:type="spellEnd"/>
      <w:r>
        <w:rPr>
          <w:lang w:val="es-MX"/>
        </w:rPr>
        <w:t xml:space="preserve">. Ya que gran parte de las hipótesis construidas, tuvieron que ver con la indagación acerca de cómo el sistema financiero y la economía globalizada de producción de mercancías se encontraban entrelazadas en el caso de la localidad de Arenaza. En este sentido, y siguiendo a Marcus (2001), nos interesa aclarar que si bien, </w:t>
      </w:r>
    </w:p>
    <w:p w14:paraId="68CB5FB6" w14:textId="77777777" w:rsidR="0063521C" w:rsidRPr="00E30E02" w:rsidRDefault="0063521C" w:rsidP="0063521C">
      <w:pPr>
        <w:pStyle w:val="Textonotapie"/>
        <w:spacing w:before="240"/>
        <w:ind w:left="714"/>
        <w:jc w:val="both"/>
        <w:rPr>
          <w:lang w:val="es-MX"/>
        </w:rPr>
      </w:pPr>
      <w:r>
        <w:rPr>
          <w:lang w:val="es-MX"/>
        </w:rPr>
        <w:t>[s</w:t>
      </w:r>
      <w:proofErr w:type="spellStart"/>
      <w:r>
        <w:t>e</w:t>
      </w:r>
      <w:proofErr w:type="spellEnd"/>
      <w:r>
        <w:t xml:space="preserve">] dice que la etnografía pone atención en lo cotidiano, en el conocimiento cara a cara de comunidades y grupos. La idea de que pueda expandirse de su comprometido localismo para representar un sistema que es captado mucho mejor por modelos </w:t>
      </w:r>
      <w:proofErr w:type="gramStart"/>
      <w:r>
        <w:t>abstractos y estadísticas</w:t>
      </w:r>
      <w:proofErr w:type="gramEnd"/>
      <w:r>
        <w:t xml:space="preserve"> agregadas parece algo antitético y que va más allá de sus límites. No obstante la etnografía </w:t>
      </w:r>
      <w:proofErr w:type="spellStart"/>
      <w:r>
        <w:t>multilocal</w:t>
      </w:r>
      <w:proofErr w:type="spellEnd"/>
      <w:r>
        <w:t xml:space="preserve"> es un ejercicio de mapear un terreno, su finalidad no es la representación holística ni generar un retrato etnográfico del sistema mundo como totalidad. Más bien, sostiene que cualquier etnografía de una formación cultural en el sistema mundo es también una etnografía del sistema y que, por tanto, no puede ser entendida sólo en términos de la puesta en escena convencional de la etnografía </w:t>
      </w:r>
      <w:proofErr w:type="spellStart"/>
      <w:r>
        <w:t>unilocal</w:t>
      </w:r>
      <w:proofErr w:type="spellEnd"/>
      <w:r>
        <w:t xml:space="preserve">, suponiendo realmente que el objeto de estudio sea la formación cultural producida en diferentes localidades, y no necesariamente las condiciones de un grupo particular de sujetos. Para la etnografía, entonces, no existe lo global en el contraste local-global tan frecuentemente evocado en estos tiempos. Lo global es una dimensión emergente en la discusión sobre la conexión entre lugares en la etnografía </w:t>
      </w:r>
      <w:proofErr w:type="spellStart"/>
      <w:r>
        <w:t>multilocal</w:t>
      </w:r>
      <w:proofErr w:type="spellEnd"/>
      <w:r>
        <w:t>. (p. 113)</w:t>
      </w:r>
    </w:p>
    <w:p w14:paraId="6162592E" w14:textId="5B2C3A56" w:rsidR="0063521C" w:rsidRPr="0063521C" w:rsidRDefault="0063521C">
      <w:pPr>
        <w:pStyle w:val="Textonotapie"/>
        <w:rPr>
          <w:lang w:val="es-MX"/>
        </w:rPr>
      </w:pPr>
    </w:p>
  </w:footnote>
  <w:footnote w:id="6">
    <w:p w14:paraId="1FAB3EE2" w14:textId="77777777" w:rsidR="00C16680" w:rsidRDefault="00C74E4A" w:rsidP="00C74E4A">
      <w:pPr>
        <w:pStyle w:val="Textonotapie"/>
        <w:jc w:val="both"/>
      </w:pPr>
      <w:r w:rsidRPr="00C74E4A">
        <w:rPr>
          <w:rStyle w:val="Refdenotaalpie"/>
        </w:rPr>
        <w:footnoteRef/>
      </w:r>
      <w:r w:rsidRPr="00C74E4A">
        <w:t xml:space="preserve"> Según Aus</w:t>
      </w:r>
      <w:r w:rsidR="00C00E99">
        <w:t xml:space="preserve">ubel (1980). </w:t>
      </w:r>
    </w:p>
    <w:p w14:paraId="503F1271" w14:textId="16DC6213" w:rsidR="00C74E4A" w:rsidRPr="00C74E4A" w:rsidRDefault="00C00E99" w:rsidP="0051271A">
      <w:pPr>
        <w:pStyle w:val="Textonotapie"/>
        <w:ind w:left="714"/>
        <w:jc w:val="both"/>
        <w:rPr>
          <w:lang w:val="es-MX"/>
        </w:rPr>
      </w:pPr>
      <w:r>
        <w:t>[…</w:t>
      </w:r>
      <w:r w:rsidR="00C74E4A" w:rsidRPr="00C74E4A">
        <w:t>] la esencia del proceso del aprendizaje significativo reside en que ideas expresadas simbólicamente son relacionadas de modo no arbitrario, sino sustancial (no al pie de la letra) con lo que el alumno ya sabe[…] El aprendizaje significativo presupone […]una disposición para relacionar, no arbitraria, sino sustancialmente, el material nuevo con su estructura cognoscitiva, como que el material que aprende es potencialmente significativo para él, especialmente relacionable con su estructura de conocimiento, de modo intencional […]si la intención del alumno consiste en memorizar arbitraria y literalmente (como una serie de palabras relacionadas caprichosamente), tanto el proceso de aprendizaje como los resultados del mismo serán mecánicos y carentes de significado. Y, a la inversa, sin importar lo significativo que sea la actitud del alumno, ni el proceso ni el resultado del aprendizaje serán posiblemente significativos si la tarea de aprendizaje no lo es potencialmente, y si tampoco es relacionable, intencionada y sustancialmente, con su estructura cognoscitiva (p. 56)</w:t>
      </w:r>
    </w:p>
  </w:footnote>
  <w:footnote w:id="7">
    <w:p w14:paraId="6C6AAC2B" w14:textId="49AFDA8F" w:rsidR="007974CD" w:rsidRPr="007974CD" w:rsidRDefault="007974CD" w:rsidP="00E30612">
      <w:pPr>
        <w:pStyle w:val="Textonotapie"/>
        <w:jc w:val="both"/>
        <w:rPr>
          <w:lang w:val="es-MX"/>
        </w:rPr>
      </w:pPr>
      <w:r>
        <w:rPr>
          <w:rStyle w:val="Refdenotaalpie"/>
        </w:rPr>
        <w:footnoteRef/>
      </w:r>
      <w:r>
        <w:t xml:space="preserve"> </w:t>
      </w:r>
      <w:r w:rsidRPr="007974CD">
        <w:t>Una característica obvia del método de casos es el empleo de una herramienta educativa llamada</w:t>
      </w:r>
      <w:r>
        <w:t xml:space="preserve"> </w:t>
      </w:r>
      <w:r w:rsidRPr="007974CD">
        <w:t>caso. Los casos son instrumentos educativos complejos que revisten la forma de narrativas. Un casó incluye</w:t>
      </w:r>
      <w:r>
        <w:t xml:space="preserve"> </w:t>
      </w:r>
      <w:r w:rsidRPr="007974CD">
        <w:t>información y datos: psicológicos, sociológicos, científicos, antropológicos, históricos y de observación,</w:t>
      </w:r>
      <w:r>
        <w:t xml:space="preserve"> </w:t>
      </w:r>
      <w:r w:rsidRPr="007974CD">
        <w:t>además de material técnico. Aunque los casos se centran en áreas temáticas específicas, por ejemplo historia,</w:t>
      </w:r>
      <w:r>
        <w:t xml:space="preserve"> </w:t>
      </w:r>
      <w:r w:rsidRPr="007974CD">
        <w:t>pediatría, gobierno, derecho, negocios, educación, psicología, desarrollo infantil, enfermería, etc., son, por</w:t>
      </w:r>
      <w:r>
        <w:t xml:space="preserve"> </w:t>
      </w:r>
      <w:r w:rsidRPr="007974CD">
        <w:t>naturaleza, interdisciplinarios. Los buenos casos se construyen en torno de problemas o de “grandes ideas”:</w:t>
      </w:r>
      <w:r>
        <w:t xml:space="preserve"> </w:t>
      </w:r>
      <w:r w:rsidRPr="007974CD">
        <w:t>puntos importantes de una asignatura que merecen un examen a fondo. Por lo general, las narrativas se basan</w:t>
      </w:r>
      <w:r>
        <w:t xml:space="preserve"> </w:t>
      </w:r>
      <w:r w:rsidRPr="007974CD">
        <w:t>en problemas de la vida real que se presentan a personas reales</w:t>
      </w:r>
      <w:r>
        <w:t xml:space="preserve"> (Wasserman, S. 1994: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14EAF"/>
    <w:multiLevelType w:val="hybridMultilevel"/>
    <w:tmpl w:val="1DF22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F470B"/>
    <w:multiLevelType w:val="multilevel"/>
    <w:tmpl w:val="4D8C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2B70FA"/>
    <w:multiLevelType w:val="hybridMultilevel"/>
    <w:tmpl w:val="BEBCC372"/>
    <w:lvl w:ilvl="0" w:tplc="EDC2B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34"/>
    <w:rsid w:val="00011BFB"/>
    <w:rsid w:val="000202CB"/>
    <w:rsid w:val="00040B20"/>
    <w:rsid w:val="00093547"/>
    <w:rsid w:val="00096FCA"/>
    <w:rsid w:val="000B35BA"/>
    <w:rsid w:val="000E31D3"/>
    <w:rsid w:val="000F7C4A"/>
    <w:rsid w:val="001343A8"/>
    <w:rsid w:val="0014118C"/>
    <w:rsid w:val="001443D5"/>
    <w:rsid w:val="0015642A"/>
    <w:rsid w:val="00170C20"/>
    <w:rsid w:val="00221FF1"/>
    <w:rsid w:val="0022411D"/>
    <w:rsid w:val="00246CF2"/>
    <w:rsid w:val="002522FA"/>
    <w:rsid w:val="00260C09"/>
    <w:rsid w:val="00266F39"/>
    <w:rsid w:val="002A580B"/>
    <w:rsid w:val="002B1C74"/>
    <w:rsid w:val="003064BF"/>
    <w:rsid w:val="003103E0"/>
    <w:rsid w:val="00313AC9"/>
    <w:rsid w:val="00350635"/>
    <w:rsid w:val="003563F5"/>
    <w:rsid w:val="00394404"/>
    <w:rsid w:val="003C6531"/>
    <w:rsid w:val="003F5AEC"/>
    <w:rsid w:val="0041046F"/>
    <w:rsid w:val="00465327"/>
    <w:rsid w:val="004A0578"/>
    <w:rsid w:val="004A4C5D"/>
    <w:rsid w:val="004F46AB"/>
    <w:rsid w:val="004F7748"/>
    <w:rsid w:val="005105E5"/>
    <w:rsid w:val="0051271A"/>
    <w:rsid w:val="00520A9B"/>
    <w:rsid w:val="00522334"/>
    <w:rsid w:val="0052318E"/>
    <w:rsid w:val="00570DCB"/>
    <w:rsid w:val="005C26D8"/>
    <w:rsid w:val="005D50B5"/>
    <w:rsid w:val="005E4732"/>
    <w:rsid w:val="005F6CE8"/>
    <w:rsid w:val="0063521C"/>
    <w:rsid w:val="00653589"/>
    <w:rsid w:val="00682CDB"/>
    <w:rsid w:val="00694D92"/>
    <w:rsid w:val="006A0FBF"/>
    <w:rsid w:val="006B2FBC"/>
    <w:rsid w:val="006B5524"/>
    <w:rsid w:val="006B67BD"/>
    <w:rsid w:val="006C491F"/>
    <w:rsid w:val="006E2C80"/>
    <w:rsid w:val="006F2E8E"/>
    <w:rsid w:val="00751B93"/>
    <w:rsid w:val="0076583D"/>
    <w:rsid w:val="007827A9"/>
    <w:rsid w:val="007974CD"/>
    <w:rsid w:val="007A2F14"/>
    <w:rsid w:val="007E4311"/>
    <w:rsid w:val="008148B3"/>
    <w:rsid w:val="00833423"/>
    <w:rsid w:val="008561D8"/>
    <w:rsid w:val="008716DC"/>
    <w:rsid w:val="008B5403"/>
    <w:rsid w:val="008C3B09"/>
    <w:rsid w:val="00943E43"/>
    <w:rsid w:val="0094762E"/>
    <w:rsid w:val="00982B31"/>
    <w:rsid w:val="009862A5"/>
    <w:rsid w:val="00987097"/>
    <w:rsid w:val="009B3F72"/>
    <w:rsid w:val="009C17C8"/>
    <w:rsid w:val="009D5C09"/>
    <w:rsid w:val="009E1CF3"/>
    <w:rsid w:val="009E40B7"/>
    <w:rsid w:val="009E5617"/>
    <w:rsid w:val="009F3628"/>
    <w:rsid w:val="00A019F8"/>
    <w:rsid w:val="00A04849"/>
    <w:rsid w:val="00A1676E"/>
    <w:rsid w:val="00A72F0D"/>
    <w:rsid w:val="00AC57CE"/>
    <w:rsid w:val="00AD1133"/>
    <w:rsid w:val="00B12876"/>
    <w:rsid w:val="00B16787"/>
    <w:rsid w:val="00B73D56"/>
    <w:rsid w:val="00B76390"/>
    <w:rsid w:val="00B819AD"/>
    <w:rsid w:val="00BA100E"/>
    <w:rsid w:val="00BD0120"/>
    <w:rsid w:val="00BD3D08"/>
    <w:rsid w:val="00BD6821"/>
    <w:rsid w:val="00BF36F9"/>
    <w:rsid w:val="00C00E99"/>
    <w:rsid w:val="00C16680"/>
    <w:rsid w:val="00C235ED"/>
    <w:rsid w:val="00C46E01"/>
    <w:rsid w:val="00C47CF2"/>
    <w:rsid w:val="00C57CD8"/>
    <w:rsid w:val="00C74E4A"/>
    <w:rsid w:val="00CC2E07"/>
    <w:rsid w:val="00CC4989"/>
    <w:rsid w:val="00CC535B"/>
    <w:rsid w:val="00D06352"/>
    <w:rsid w:val="00D17C4E"/>
    <w:rsid w:val="00D464B3"/>
    <w:rsid w:val="00D51669"/>
    <w:rsid w:val="00D71703"/>
    <w:rsid w:val="00D856D8"/>
    <w:rsid w:val="00D902B5"/>
    <w:rsid w:val="00D977B1"/>
    <w:rsid w:val="00DA744B"/>
    <w:rsid w:val="00DC7766"/>
    <w:rsid w:val="00E16F4B"/>
    <w:rsid w:val="00E30612"/>
    <w:rsid w:val="00E30E02"/>
    <w:rsid w:val="00E4679D"/>
    <w:rsid w:val="00E64266"/>
    <w:rsid w:val="00E91099"/>
    <w:rsid w:val="00E91E29"/>
    <w:rsid w:val="00ED31BC"/>
    <w:rsid w:val="00EF7B4A"/>
    <w:rsid w:val="00F155E9"/>
    <w:rsid w:val="00F6021F"/>
    <w:rsid w:val="00FD6D2D"/>
    <w:rsid w:val="00FE04AA"/>
    <w:rsid w:val="00FE68F2"/>
    <w:rsid w:val="00FF38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4F70"/>
  <w15:docId w15:val="{93F8BB29-9083-40FB-8C24-D7187EBF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52318E"/>
    <w:rPr>
      <w:sz w:val="16"/>
      <w:szCs w:val="16"/>
    </w:rPr>
  </w:style>
  <w:style w:type="paragraph" w:styleId="Textocomentario">
    <w:name w:val="annotation text"/>
    <w:basedOn w:val="Normal"/>
    <w:link w:val="TextocomentarioCar"/>
    <w:uiPriority w:val="99"/>
    <w:semiHidden/>
    <w:unhideWhenUsed/>
    <w:rsid w:val="0052318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318E"/>
    <w:rPr>
      <w:sz w:val="20"/>
      <w:szCs w:val="20"/>
    </w:rPr>
  </w:style>
  <w:style w:type="paragraph" w:styleId="Asuntodelcomentario">
    <w:name w:val="annotation subject"/>
    <w:basedOn w:val="Textocomentario"/>
    <w:next w:val="Textocomentario"/>
    <w:link w:val="AsuntodelcomentarioCar"/>
    <w:uiPriority w:val="99"/>
    <w:semiHidden/>
    <w:unhideWhenUsed/>
    <w:rsid w:val="0052318E"/>
    <w:rPr>
      <w:b/>
      <w:bCs/>
    </w:rPr>
  </w:style>
  <w:style w:type="character" w:customStyle="1" w:styleId="AsuntodelcomentarioCar">
    <w:name w:val="Asunto del comentario Car"/>
    <w:basedOn w:val="TextocomentarioCar"/>
    <w:link w:val="Asuntodelcomentario"/>
    <w:uiPriority w:val="99"/>
    <w:semiHidden/>
    <w:rsid w:val="0052318E"/>
    <w:rPr>
      <w:b/>
      <w:bCs/>
      <w:sz w:val="20"/>
      <w:szCs w:val="20"/>
    </w:rPr>
  </w:style>
  <w:style w:type="paragraph" w:styleId="Textodeglobo">
    <w:name w:val="Balloon Text"/>
    <w:basedOn w:val="Normal"/>
    <w:link w:val="TextodegloboCar"/>
    <w:uiPriority w:val="99"/>
    <w:semiHidden/>
    <w:unhideWhenUsed/>
    <w:rsid w:val="003F5AE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5AEC"/>
    <w:rPr>
      <w:rFonts w:ascii="Segoe UI" w:hAnsi="Segoe UI" w:cs="Segoe UI"/>
      <w:sz w:val="18"/>
      <w:szCs w:val="18"/>
    </w:rPr>
  </w:style>
  <w:style w:type="paragraph" w:styleId="NormalWeb">
    <w:name w:val="Normal (Web)"/>
    <w:basedOn w:val="Normal"/>
    <w:uiPriority w:val="99"/>
    <w:unhideWhenUsed/>
    <w:rsid w:val="00C235E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ipervnculo">
    <w:name w:val="Hyperlink"/>
    <w:basedOn w:val="Fuentedeprrafopredeter"/>
    <w:uiPriority w:val="99"/>
    <w:unhideWhenUsed/>
    <w:rsid w:val="00D464B3"/>
    <w:rPr>
      <w:color w:val="0000FF" w:themeColor="hyperlink"/>
      <w:u w:val="single"/>
    </w:rPr>
  </w:style>
  <w:style w:type="paragraph" w:styleId="Textonotapie">
    <w:name w:val="footnote text"/>
    <w:basedOn w:val="Normal"/>
    <w:link w:val="TextonotapieCar"/>
    <w:uiPriority w:val="99"/>
    <w:semiHidden/>
    <w:unhideWhenUsed/>
    <w:rsid w:val="0014118C"/>
    <w:pPr>
      <w:spacing w:line="240" w:lineRule="auto"/>
    </w:pPr>
    <w:rPr>
      <w:sz w:val="20"/>
      <w:szCs w:val="20"/>
    </w:rPr>
  </w:style>
  <w:style w:type="character" w:customStyle="1" w:styleId="TextonotapieCar">
    <w:name w:val="Texto nota pie Car"/>
    <w:basedOn w:val="Fuentedeprrafopredeter"/>
    <w:link w:val="Textonotapie"/>
    <w:uiPriority w:val="99"/>
    <w:semiHidden/>
    <w:rsid w:val="0014118C"/>
    <w:rPr>
      <w:sz w:val="20"/>
      <w:szCs w:val="20"/>
    </w:rPr>
  </w:style>
  <w:style w:type="character" w:styleId="Refdenotaalpie">
    <w:name w:val="footnote reference"/>
    <w:basedOn w:val="Fuentedeprrafopredeter"/>
    <w:uiPriority w:val="99"/>
    <w:semiHidden/>
    <w:unhideWhenUsed/>
    <w:rsid w:val="0014118C"/>
    <w:rPr>
      <w:vertAlign w:val="superscript"/>
    </w:rPr>
  </w:style>
  <w:style w:type="paragraph" w:styleId="Prrafodelista">
    <w:name w:val="List Paragraph"/>
    <w:basedOn w:val="Normal"/>
    <w:uiPriority w:val="34"/>
    <w:qFormat/>
    <w:rsid w:val="000E3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975">
      <w:bodyDiv w:val="1"/>
      <w:marLeft w:val="0"/>
      <w:marRight w:val="0"/>
      <w:marTop w:val="0"/>
      <w:marBottom w:val="0"/>
      <w:divBdr>
        <w:top w:val="none" w:sz="0" w:space="0" w:color="auto"/>
        <w:left w:val="none" w:sz="0" w:space="0" w:color="auto"/>
        <w:bottom w:val="none" w:sz="0" w:space="0" w:color="auto"/>
        <w:right w:val="none" w:sz="0" w:space="0" w:color="auto"/>
      </w:divBdr>
    </w:div>
    <w:div w:id="2084182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393CA-6FE1-4FAC-BF17-CFF689DA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7</Pages>
  <Words>2120</Words>
  <Characters>11664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Bangho</dc:creator>
  <cp:lastModifiedBy>Cuenta Microsoft</cp:lastModifiedBy>
  <cp:revision>77</cp:revision>
  <dcterms:created xsi:type="dcterms:W3CDTF">2021-08-26T11:52:00Z</dcterms:created>
  <dcterms:modified xsi:type="dcterms:W3CDTF">2021-11-07T00:48:00Z</dcterms:modified>
</cp:coreProperties>
</file>